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2756535</wp:posOffset>
            </wp:positionH>
            <wp:positionV relativeFrom="paragraph">
              <wp:posOffset>229235</wp:posOffset>
            </wp:positionV>
            <wp:extent cx="16287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628775" cy="8890"/>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2756535</wp:posOffset>
            </wp:positionH>
            <wp:positionV relativeFrom="paragraph">
              <wp:posOffset>112395</wp:posOffset>
            </wp:positionV>
            <wp:extent cx="16287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CURRENT REPORT</w:t>
      </w:r>
    </w:p>
    <w:p>
      <w:pPr>
        <w:spacing w:after="0" w:line="1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May 7,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2756535</wp:posOffset>
            </wp:positionH>
            <wp:positionV relativeFrom="paragraph">
              <wp:posOffset>81280</wp:posOffset>
            </wp:positionV>
            <wp:extent cx="16287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3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GENPACT LIMITED</w:t>
      </w:r>
    </w:p>
    <w:p>
      <w:pPr>
        <w:spacing w:after="0" w:line="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2756535</wp:posOffset>
            </wp:positionH>
            <wp:positionV relativeFrom="paragraph">
              <wp:posOffset>81915</wp:posOffset>
            </wp:positionV>
            <wp:extent cx="16287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316" w:lineRule="exact"/>
        <w:rPr>
          <w:sz w:val="24"/>
          <w:szCs w:val="24"/>
          <w:color w:val="auto"/>
        </w:rPr>
      </w:pPr>
    </w:p>
    <w:tbl>
      <w:tblPr>
        <w:tblLayout w:type="fixed"/>
        <w:tblInd w:w="1060" w:type="dxa"/>
        <w:tblCellMar>
          <w:top w:w="0" w:type="dxa"/>
          <w:left w:w="0" w:type="dxa"/>
          <w:bottom w:w="0" w:type="dxa"/>
          <w:right w:w="0" w:type="dxa"/>
        </w:tblCellMar>
      </w:tblPr>
      <w:tr>
        <w:trPr>
          <w:trHeight w:val="227"/>
        </w:trPr>
        <w:tc>
          <w:tcPr>
            <w:tcW w:w="1800" w:type="dxa"/>
            <w:vAlign w:val="bottom"/>
          </w:tcPr>
          <w:p>
            <w:pPr>
              <w:jc w:val="center"/>
              <w:ind w:right="82"/>
              <w:spacing w:after="0"/>
              <w:rPr>
                <w:sz w:val="20"/>
                <w:szCs w:val="20"/>
                <w:color w:val="auto"/>
              </w:rPr>
            </w:pPr>
            <w:r>
              <w:rPr>
                <w:rFonts w:ascii="Times New Roman" w:cs="Times New Roman" w:eastAsia="Times New Roman" w:hAnsi="Times New Roman"/>
                <w:sz w:val="18"/>
                <w:szCs w:val="18"/>
                <w:b w:val="1"/>
                <w:bCs w:val="1"/>
                <w:color w:val="auto"/>
                <w:w w:val="99"/>
              </w:rPr>
              <w:t>Bermuda</w:t>
            </w:r>
          </w:p>
        </w:tc>
        <w:tc>
          <w:tcPr>
            <w:tcW w:w="4020" w:type="dxa"/>
            <w:vAlign w:val="bottom"/>
            <w:gridSpan w:val="2"/>
          </w:tcPr>
          <w:p>
            <w:pPr>
              <w:jc w:val="right"/>
              <w:ind w:right="677"/>
              <w:spacing w:after="0"/>
              <w:rPr>
                <w:sz w:val="20"/>
                <w:szCs w:val="20"/>
                <w:color w:val="auto"/>
              </w:rPr>
            </w:pPr>
            <w:r>
              <w:rPr>
                <w:rFonts w:ascii="Times New Roman" w:cs="Times New Roman" w:eastAsia="Times New Roman" w:hAnsi="Times New Roman"/>
                <w:sz w:val="18"/>
                <w:szCs w:val="18"/>
                <w:b w:val="1"/>
                <w:bCs w:val="1"/>
                <w:color w:val="auto"/>
              </w:rPr>
              <w:t>001-33626</w:t>
            </w:r>
          </w:p>
        </w:tc>
        <w:tc>
          <w:tcPr>
            <w:tcW w:w="1620" w:type="dxa"/>
            <w:vAlign w:val="bottom"/>
          </w:tcPr>
          <w:p>
            <w:pPr>
              <w:spacing w:after="0"/>
              <w:rPr>
                <w:sz w:val="19"/>
                <w:szCs w:val="19"/>
                <w:color w:val="auto"/>
              </w:rPr>
            </w:pPr>
          </w:p>
        </w:tc>
        <w:tc>
          <w:tcPr>
            <w:tcW w:w="1420" w:type="dxa"/>
            <w:vAlign w:val="bottom"/>
          </w:tcPr>
          <w:p>
            <w:pPr>
              <w:jc w:val="center"/>
              <w:ind w:left="222"/>
              <w:spacing w:after="0"/>
              <w:rPr>
                <w:sz w:val="20"/>
                <w:szCs w:val="20"/>
                <w:color w:val="auto"/>
              </w:rPr>
            </w:pPr>
            <w:r>
              <w:rPr>
                <w:rFonts w:ascii="Times New Roman" w:cs="Times New Roman" w:eastAsia="Times New Roman" w:hAnsi="Times New Roman"/>
                <w:sz w:val="18"/>
                <w:szCs w:val="18"/>
                <w:b w:val="1"/>
                <w:bCs w:val="1"/>
                <w:color w:val="auto"/>
              </w:rPr>
              <w:t>98-0533350</w:t>
            </w:r>
          </w:p>
        </w:tc>
      </w:tr>
      <w:tr>
        <w:trPr>
          <w:trHeight w:val="148"/>
        </w:trPr>
        <w:tc>
          <w:tcPr>
            <w:tcW w:w="1800" w:type="dxa"/>
            <w:vAlign w:val="bottom"/>
          </w:tcPr>
          <w:p>
            <w:pPr>
              <w:jc w:val="center"/>
              <w:ind w:right="82"/>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1460" w:type="dxa"/>
            <w:vAlign w:val="bottom"/>
          </w:tcPr>
          <w:p>
            <w:pPr>
              <w:spacing w:after="0"/>
              <w:rPr>
                <w:sz w:val="12"/>
                <w:szCs w:val="12"/>
                <w:color w:val="auto"/>
              </w:rPr>
            </w:pPr>
          </w:p>
        </w:tc>
        <w:tc>
          <w:tcPr>
            <w:tcW w:w="4180" w:type="dxa"/>
            <w:vAlign w:val="bottom"/>
            <w:gridSpan w:val="2"/>
          </w:tcPr>
          <w:p>
            <w:pPr>
              <w:ind w:left="94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1420" w:type="dxa"/>
            <w:vAlign w:val="bottom"/>
          </w:tcPr>
          <w:p>
            <w:pPr>
              <w:jc w:val="center"/>
              <w:ind w:left="222"/>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1800" w:type="dxa"/>
            <w:vAlign w:val="bottom"/>
          </w:tcPr>
          <w:p>
            <w:pPr>
              <w:jc w:val="center"/>
              <w:ind w:right="102"/>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1460" w:type="dxa"/>
            <w:vAlign w:val="bottom"/>
          </w:tcPr>
          <w:p>
            <w:pPr>
              <w:spacing w:after="0"/>
              <w:rPr>
                <w:sz w:val="16"/>
                <w:szCs w:val="16"/>
                <w:color w:val="auto"/>
              </w:rPr>
            </w:pPr>
          </w:p>
        </w:tc>
        <w:tc>
          <w:tcPr>
            <w:tcW w:w="4180" w:type="dxa"/>
            <w:vAlign w:val="bottom"/>
            <w:gridSpan w:val="2"/>
          </w:tcPr>
          <w:p>
            <w:pPr>
              <w:jc w:val="right"/>
              <w:ind w:right="238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420" w:type="dxa"/>
            <w:vAlign w:val="bottom"/>
          </w:tcPr>
          <w:p>
            <w:pPr>
              <w:jc w:val="center"/>
              <w:ind w:left="222"/>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74"/>
        </w:trPr>
        <w:tc>
          <w:tcPr>
            <w:tcW w:w="18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180" w:type="dxa"/>
            <w:vAlign w:val="bottom"/>
            <w:gridSpan w:val="2"/>
          </w:tcPr>
          <w:p>
            <w:pPr>
              <w:jc w:val="center"/>
              <w:ind w:right="1560"/>
              <w:spacing w:after="0"/>
              <w:rPr>
                <w:sz w:val="20"/>
                <w:szCs w:val="20"/>
                <w:color w:val="auto"/>
              </w:rPr>
            </w:pPr>
            <w:r>
              <w:rPr>
                <w:rFonts w:ascii="Times New Roman" w:cs="Times New Roman" w:eastAsia="Times New Roman" w:hAnsi="Times New Roman"/>
                <w:sz w:val="18"/>
                <w:szCs w:val="18"/>
                <w:b w:val="1"/>
                <w:bCs w:val="1"/>
                <w:color w:val="auto"/>
                <w:w w:val="99"/>
              </w:rPr>
              <w:t>Canon's Court, 22 Victoria Street</w:t>
            </w:r>
          </w:p>
        </w:tc>
        <w:tc>
          <w:tcPr>
            <w:tcW w:w="1420" w:type="dxa"/>
            <w:vAlign w:val="bottom"/>
          </w:tcPr>
          <w:p>
            <w:pPr>
              <w:spacing w:after="0"/>
              <w:rPr>
                <w:sz w:val="24"/>
                <w:szCs w:val="24"/>
                <w:color w:val="auto"/>
              </w:rPr>
            </w:pPr>
          </w:p>
        </w:tc>
      </w:tr>
      <w:tr>
        <w:trPr>
          <w:trHeight w:val="214"/>
        </w:trPr>
        <w:tc>
          <w:tcPr>
            <w:tcW w:w="18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4180" w:type="dxa"/>
            <w:vAlign w:val="bottom"/>
            <w:gridSpan w:val="2"/>
          </w:tcPr>
          <w:p>
            <w:pPr>
              <w:jc w:val="center"/>
              <w:ind w:right="1580"/>
              <w:spacing w:after="0"/>
              <w:rPr>
                <w:sz w:val="20"/>
                <w:szCs w:val="20"/>
                <w:color w:val="auto"/>
              </w:rPr>
            </w:pPr>
            <w:r>
              <w:rPr>
                <w:rFonts w:ascii="Times New Roman" w:cs="Times New Roman" w:eastAsia="Times New Roman" w:hAnsi="Times New Roman"/>
                <w:sz w:val="18"/>
                <w:szCs w:val="18"/>
                <w:b w:val="1"/>
                <w:bCs w:val="1"/>
                <w:color w:val="auto"/>
                <w:w w:val="99"/>
              </w:rPr>
              <w:t>Hamilton HM 12, Bermuda</w:t>
            </w:r>
          </w:p>
        </w:tc>
        <w:tc>
          <w:tcPr>
            <w:tcW w:w="1420" w:type="dxa"/>
            <w:vAlign w:val="bottom"/>
          </w:tcPr>
          <w:p>
            <w:pPr>
              <w:spacing w:after="0"/>
              <w:rPr>
                <w:sz w:val="18"/>
                <w:szCs w:val="18"/>
                <w:color w:val="auto"/>
              </w:rPr>
            </w:pPr>
          </w:p>
        </w:tc>
      </w:tr>
      <w:tr>
        <w:trPr>
          <w:trHeight w:val="190"/>
        </w:trPr>
        <w:tc>
          <w:tcPr>
            <w:tcW w:w="1800" w:type="dxa"/>
            <w:vAlign w:val="bottom"/>
          </w:tcPr>
          <w:p>
            <w:pPr>
              <w:spacing w:after="0"/>
              <w:rPr>
                <w:sz w:val="16"/>
                <w:szCs w:val="16"/>
                <w:color w:val="auto"/>
              </w:rPr>
            </w:pPr>
          </w:p>
        </w:tc>
        <w:tc>
          <w:tcPr>
            <w:tcW w:w="564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tc>
        <w:tc>
          <w:tcPr>
            <w:tcW w:w="1420" w:type="dxa"/>
            <w:vAlign w:val="bottom"/>
          </w:tcPr>
          <w:p>
            <w:pPr>
              <w:spacing w:after="0"/>
              <w:rPr>
                <w:sz w:val="16"/>
                <w:szCs w:val="16"/>
                <w:color w:val="auto"/>
              </w:rPr>
            </w:pPr>
          </w:p>
        </w:tc>
      </w:tr>
      <w:tr>
        <w:trPr>
          <w:trHeight w:val="402"/>
        </w:trPr>
        <w:tc>
          <w:tcPr>
            <w:tcW w:w="1800" w:type="dxa"/>
            <w:vAlign w:val="bottom"/>
          </w:tcPr>
          <w:p>
            <w:pPr>
              <w:spacing w:after="0"/>
              <w:rPr>
                <w:sz w:val="24"/>
                <w:szCs w:val="24"/>
                <w:color w:val="auto"/>
              </w:rPr>
            </w:pPr>
          </w:p>
        </w:tc>
        <w:tc>
          <w:tcPr>
            <w:tcW w:w="564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(441) 298-3300</w:t>
            </w:r>
          </w:p>
        </w:tc>
        <w:tc>
          <w:tcPr>
            <w:tcW w:w="1420" w:type="dxa"/>
            <w:vAlign w:val="bottom"/>
          </w:tcPr>
          <w:p>
            <w:pPr>
              <w:spacing w:after="0"/>
              <w:rPr>
                <w:sz w:val="24"/>
                <w:szCs w:val="24"/>
                <w:color w:val="auto"/>
              </w:rPr>
            </w:pPr>
          </w:p>
        </w:tc>
      </w:tr>
      <w:tr>
        <w:trPr>
          <w:trHeight w:val="367"/>
        </w:trPr>
        <w:tc>
          <w:tcPr>
            <w:tcW w:w="18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180" w:type="dxa"/>
            <w:vAlign w:val="bottom"/>
            <w:gridSpan w:val="2"/>
          </w:tcPr>
          <w:p>
            <w:pPr>
              <w:jc w:val="center"/>
              <w:ind w:right="1580"/>
              <w:spacing w:after="0"/>
              <w:rPr>
                <w:sz w:val="20"/>
                <w:szCs w:val="20"/>
                <w:color w:val="auto"/>
              </w:rPr>
            </w:pPr>
            <w:r>
              <w:rPr>
                <w:rFonts w:ascii="Times New Roman" w:cs="Times New Roman" w:eastAsia="Times New Roman" w:hAnsi="Times New Roman"/>
                <w:sz w:val="18"/>
                <w:szCs w:val="18"/>
                <w:b w:val="1"/>
                <w:bCs w:val="1"/>
                <w:color w:val="auto"/>
              </w:rPr>
              <w:t>Not Applicable</w:t>
            </w:r>
          </w:p>
        </w:tc>
        <w:tc>
          <w:tcPr>
            <w:tcW w:w="1420" w:type="dxa"/>
            <w:vAlign w:val="bottom"/>
          </w:tcPr>
          <w:p>
            <w:pPr>
              <w:spacing w:after="0"/>
              <w:rPr>
                <w:sz w:val="24"/>
                <w:szCs w:val="24"/>
                <w:color w:val="auto"/>
              </w:rPr>
            </w:pPr>
          </w:p>
        </w:tc>
      </w:tr>
      <w:tr>
        <w:trPr>
          <w:trHeight w:val="190"/>
        </w:trPr>
        <w:tc>
          <w:tcPr>
            <w:tcW w:w="1800" w:type="dxa"/>
            <w:vAlign w:val="bottom"/>
          </w:tcPr>
          <w:p>
            <w:pPr>
              <w:spacing w:after="0"/>
              <w:rPr>
                <w:sz w:val="16"/>
                <w:szCs w:val="16"/>
                <w:color w:val="auto"/>
              </w:rPr>
            </w:pPr>
          </w:p>
        </w:tc>
        <w:tc>
          <w:tcPr>
            <w:tcW w:w="564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tc>
        <w:tc>
          <w:tcPr>
            <w:tcW w:w="1420" w:type="dxa"/>
            <w:vAlign w:val="bottom"/>
          </w:tcPr>
          <w:p>
            <w:pPr>
              <w:spacing w:after="0"/>
              <w:rPr>
                <w:sz w:val="16"/>
                <w:szCs w:val="16"/>
                <w:color w:val="auto"/>
              </w:rPr>
            </w:pPr>
          </w:p>
        </w:tc>
      </w:tr>
      <w:tr>
        <w:trPr>
          <w:trHeight w:val="131"/>
        </w:trPr>
        <w:tc>
          <w:tcPr>
            <w:tcW w:w="180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2560" w:type="dxa"/>
            <w:vAlign w:val="bottom"/>
            <w:tcBorders>
              <w:bottom w:val="single" w:sz="8" w:color="auto"/>
            </w:tcBorders>
          </w:tcPr>
          <w:p>
            <w:pPr>
              <w:spacing w:after="0"/>
              <w:rPr>
                <w:sz w:val="11"/>
                <w:szCs w:val="11"/>
                <w:color w:val="auto"/>
              </w:rPr>
            </w:pPr>
          </w:p>
        </w:tc>
        <w:tc>
          <w:tcPr>
            <w:tcW w:w="1620" w:type="dxa"/>
            <w:vAlign w:val="bottom"/>
          </w:tcPr>
          <w:p>
            <w:pPr>
              <w:spacing w:after="0"/>
              <w:rPr>
                <w:sz w:val="11"/>
                <w:szCs w:val="11"/>
                <w:color w:val="auto"/>
              </w:rPr>
            </w:pPr>
          </w:p>
        </w:tc>
        <w:tc>
          <w:tcPr>
            <w:tcW w:w="1420" w:type="dxa"/>
            <w:vAlign w:val="bottom"/>
          </w:tcPr>
          <w:p>
            <w:pPr>
              <w:spacing w:after="0"/>
              <w:rPr>
                <w:sz w:val="11"/>
                <w:szCs w:val="11"/>
                <w:color w:val="auto"/>
              </w:rPr>
            </w:pPr>
          </w:p>
        </w:tc>
      </w:tr>
    </w:tbl>
    <w:p>
      <w:pPr>
        <w:spacing w:after="0" w:line="198"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520" w:hanging="494"/>
        <w:spacing w:after="0"/>
        <w:tabs>
          <w:tab w:leader="none" w:pos="52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65" w:lineRule="exact"/>
        <w:rPr>
          <w:rFonts w:ascii="MS PGothic" w:cs="MS PGothic" w:eastAsia="MS PGothic" w:hAnsi="MS PGothic"/>
          <w:sz w:val="20"/>
          <w:szCs w:val="20"/>
          <w:color w:val="auto"/>
        </w:rPr>
      </w:pPr>
    </w:p>
    <w:p>
      <w:pPr>
        <w:ind w:left="520" w:hanging="494"/>
        <w:spacing w:after="0"/>
        <w:tabs>
          <w:tab w:leader="none" w:pos="52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45" w:lineRule="exact"/>
        <w:rPr>
          <w:rFonts w:ascii="MS PGothic" w:cs="MS PGothic" w:eastAsia="MS PGothic" w:hAnsi="MS PGothic"/>
          <w:sz w:val="20"/>
          <w:szCs w:val="20"/>
          <w:color w:val="auto"/>
        </w:rPr>
      </w:pPr>
    </w:p>
    <w:p>
      <w:pPr>
        <w:ind w:left="520" w:hanging="494"/>
        <w:spacing w:after="0"/>
        <w:tabs>
          <w:tab w:leader="none" w:pos="52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45" w:lineRule="exact"/>
        <w:rPr>
          <w:rFonts w:ascii="MS PGothic" w:cs="MS PGothic" w:eastAsia="MS PGothic" w:hAnsi="MS PGothic"/>
          <w:sz w:val="20"/>
          <w:szCs w:val="20"/>
          <w:color w:val="auto"/>
        </w:rPr>
      </w:pPr>
    </w:p>
    <w:p>
      <w:pPr>
        <w:ind w:left="520" w:hanging="494"/>
        <w:spacing w:after="0"/>
        <w:tabs>
          <w:tab w:leader="none" w:pos="52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4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ectPr>
          <w:pgSz w:w="11900" w:h="16838" w:orient="portrait"/>
          <w:cols w:equalWidth="0" w:num="1">
            <w:col w:w="11240"/>
          </w:cols>
          <w:pgMar w:left="320" w:top="452" w:right="339" w:bottom="1440" w:gutter="0" w:footer="0" w:header="0"/>
        </w:sectPr>
      </w:pPr>
    </w:p>
    <w:p>
      <w:pPr>
        <w:spacing w:after="0" w:line="262" w:lineRule="exact"/>
        <w:rPr>
          <w:sz w:val="24"/>
          <w:szCs w:val="24"/>
          <w:color w:val="auto"/>
        </w:rPr>
      </w:pPr>
    </w:p>
    <w:p>
      <w:pPr>
        <w:ind w:left="1460"/>
        <w:spacing w:after="0"/>
        <w:rPr>
          <w:sz w:val="20"/>
          <w:szCs w:val="20"/>
          <w:color w:val="auto"/>
        </w:rPr>
      </w:pPr>
      <w:r>
        <w:rPr>
          <w:rFonts w:ascii="Times New Roman" w:cs="Times New Roman" w:eastAsia="Times New Roman" w:hAnsi="Times New Roman"/>
          <w:sz w:val="17"/>
          <w:szCs w:val="17"/>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24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Trading Symbol</w:t>
      </w:r>
    </w:p>
    <w:p>
      <w:pPr>
        <w:spacing w:after="0" w:line="20" w:lineRule="exact"/>
        <w:rPr>
          <w:sz w:val="24"/>
          <w:szCs w:val="24"/>
          <w:color w:val="auto"/>
        </w:rPr>
      </w:pPr>
      <w:r>
        <w:rPr>
          <w:sz w:val="24"/>
          <w:szCs w:val="24"/>
          <w:color w:val="auto"/>
        </w:rPr>
        <w:br w:type="column"/>
      </w:r>
    </w:p>
    <w:p>
      <w:pPr>
        <w:spacing w:after="0" w:line="24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Name of each exchange on which registered</w:t>
      </w:r>
    </w:p>
    <w:p>
      <w:pPr>
        <w:spacing w:after="0" w:line="43" w:lineRule="exact"/>
        <w:rPr>
          <w:sz w:val="24"/>
          <w:szCs w:val="24"/>
          <w:color w:val="auto"/>
        </w:rPr>
      </w:pPr>
    </w:p>
    <w:p>
      <w:pPr>
        <w:sectPr>
          <w:pgSz w:w="11900" w:h="16838" w:orient="portrait"/>
          <w:cols w:equalWidth="0" w:num="3">
            <w:col w:w="4260" w:space="720"/>
            <w:col w:w="1720" w:space="720"/>
            <w:col w:w="3820"/>
          </w:cols>
          <w:pgMar w:left="320" w:top="452" w:right="339" w:bottom="1440" w:gutter="0" w:footer="0" w:header="0"/>
          <w:type w:val="continuous"/>
        </w:sectPr>
      </w:pPr>
    </w:p>
    <w:p>
      <w:pPr>
        <w:ind w:left="600"/>
        <w:spacing w:after="0"/>
        <w:rPr>
          <w:sz w:val="20"/>
          <w:szCs w:val="20"/>
          <w:color w:val="auto"/>
        </w:rPr>
      </w:pPr>
      <w:r>
        <w:rPr>
          <w:rFonts w:ascii="Times New Roman" w:cs="Times New Roman" w:eastAsia="Times New Roman" w:hAnsi="Times New Roman"/>
          <w:sz w:val="17"/>
          <w:szCs w:val="17"/>
          <w:color w:val="auto"/>
        </w:rPr>
        <w:t>Common shares, par value $0.01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auto"/>
        </w:rPr>
        <w:t>G</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New York Stock Exchange</w:t>
      </w:r>
    </w:p>
    <w:p>
      <w:pPr>
        <w:spacing w:after="0" w:line="200" w:lineRule="exact"/>
        <w:rPr>
          <w:sz w:val="24"/>
          <w:szCs w:val="24"/>
          <w:color w:val="auto"/>
        </w:rPr>
      </w:pPr>
    </w:p>
    <w:p>
      <w:pPr>
        <w:sectPr>
          <w:pgSz w:w="11900" w:h="16838" w:orient="portrait"/>
          <w:cols w:equalWidth="0" w:num="3">
            <w:col w:w="4820" w:space="720"/>
            <w:col w:w="1860" w:space="720"/>
            <w:col w:w="3120"/>
          </w:cols>
          <w:pgMar w:left="320" w:top="452" w:right="339" w:bottom="1440" w:gutter="0" w:footer="0" w:header="0"/>
          <w:type w:val="continuous"/>
        </w:sectPr>
      </w:pPr>
    </w:p>
    <w:p>
      <w:pPr>
        <w:spacing w:after="0" w:line="126"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111125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52" w:right="339" w:bottom="1440" w:gutter="0" w:footer="0" w:header="0"/>
          <w:type w:val="continuous"/>
        </w:sectPr>
      </w:pPr>
    </w:p>
    <w:bookmarkStart w:id="1" w:name="page2"/>
    <w:bookmarkEnd w:id="1"/>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229" w:lineRule="exact"/>
        <w:rPr>
          <w:sz w:val="20"/>
          <w:szCs w:val="20"/>
          <w:color w:val="auto"/>
        </w:rPr>
      </w:pPr>
    </w:p>
    <w:p>
      <w:pPr>
        <w:jc w:val="both"/>
        <w:ind w:firstLine="729"/>
        <w:spacing w:after="0" w:line="266" w:lineRule="auto"/>
        <w:rPr>
          <w:sz w:val="20"/>
          <w:szCs w:val="20"/>
          <w:color w:val="auto"/>
        </w:rPr>
      </w:pPr>
      <w:r>
        <w:rPr>
          <w:rFonts w:ascii="Times New Roman" w:cs="Times New Roman" w:eastAsia="Times New Roman" w:hAnsi="Times New Roman"/>
          <w:sz w:val="18"/>
          <w:szCs w:val="18"/>
          <w:color w:val="auto"/>
        </w:rPr>
        <w:t xml:space="preserve">On May 7, 2026, Genpact Limited (the “Company”) issued a press release announcing its financial results for the three months ended March 31, 2026. The Company is furnishing this Form 8-K pursuant to Item 2.02, “Results of Operations and Financial Condition.” A copy of the press release, attached hereto as </w:t>
      </w:r>
      <w:r>
        <w:rPr>
          <w:rFonts w:ascii="Times New Roman" w:cs="Times New Roman" w:eastAsia="Times New Roman" w:hAnsi="Times New Roman"/>
          <w:sz w:val="18"/>
          <w:szCs w:val="18"/>
          <w:u w:val="single" w:color="auto"/>
          <w:color w:val="auto"/>
        </w:rPr>
        <w:t>Exhibit 99.1</w:t>
      </w:r>
      <w:r>
        <w:rPr>
          <w:rFonts w:ascii="Times New Roman" w:cs="Times New Roman" w:eastAsia="Times New Roman" w:hAnsi="Times New Roman"/>
          <w:sz w:val="18"/>
          <w:szCs w:val="18"/>
          <w:color w:val="auto"/>
        </w:rPr>
        <w:t>, is incorporated herein by reference.</w:t>
      </w:r>
    </w:p>
    <w:p>
      <w:pPr>
        <w:spacing w:after="0" w:line="176" w:lineRule="exact"/>
        <w:rPr>
          <w:sz w:val="20"/>
          <w:szCs w:val="20"/>
          <w:color w:val="auto"/>
        </w:rPr>
      </w:pPr>
    </w:p>
    <w:p>
      <w:pPr>
        <w:jc w:val="both"/>
        <w:ind w:firstLine="729"/>
        <w:spacing w:after="0" w:line="261" w:lineRule="auto"/>
        <w:rPr>
          <w:sz w:val="20"/>
          <w:szCs w:val="20"/>
          <w:color w:val="auto"/>
        </w:rPr>
      </w:pPr>
      <w:r>
        <w:rPr>
          <w:rFonts w:ascii="Times New Roman" w:cs="Times New Roman" w:eastAsia="Times New Roman" w:hAnsi="Times New Roman"/>
          <w:sz w:val="18"/>
          <w:szCs w:val="18"/>
          <w:color w:val="auto"/>
        </w:rPr>
        <w:t>The information in this report (including Exhibit 99.1) is being furnished pursuant to Item 2.02 and shall not be deemed to be filed for purposes of Section 18 of the Securities Exchange Act of 1934, as amended (the “Exchange Act”), or otherwise subject to the liability of that section, and shall not be incorporated by reference into any registration statement or other document filed under the Securities Act of 1933, as amended, or the Exchange Act, except as shall be expressly set forth by specific reference in such filing.</w:t>
      </w:r>
    </w:p>
    <w:p>
      <w:pPr>
        <w:spacing w:after="0" w:line="180" w:lineRule="exact"/>
        <w:rPr>
          <w:sz w:val="20"/>
          <w:szCs w:val="20"/>
          <w:color w:val="auto"/>
        </w:rPr>
      </w:pPr>
    </w:p>
    <w:p>
      <w:pPr>
        <w:jc w:val="both"/>
        <w:ind w:firstLine="729"/>
        <w:spacing w:after="0" w:line="282" w:lineRule="auto"/>
        <w:rPr>
          <w:sz w:val="20"/>
          <w:szCs w:val="20"/>
          <w:color w:val="auto"/>
        </w:rPr>
      </w:pPr>
      <w:r>
        <w:rPr>
          <w:rFonts w:ascii="Times New Roman" w:cs="Times New Roman" w:eastAsia="Times New Roman" w:hAnsi="Times New Roman"/>
          <w:sz w:val="18"/>
          <w:szCs w:val="18"/>
          <w:color w:val="auto"/>
        </w:rPr>
        <w:t>The Company is making reference to non-GAAP financial information in the press release and on the conference call. A reconciliation of the non-GAAP financial measures to the most directly comparable GAAP financial measures is contained in the attached press release.</w:t>
      </w:r>
    </w:p>
    <w:p>
      <w:pPr>
        <w:spacing w:after="0" w:line="266"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17"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i w:val="1"/>
          <w:iCs w:val="1"/>
          <w:color w:val="auto"/>
        </w:rPr>
        <w:t>(d)</w:t>
      </w:r>
      <w:r>
        <w:rPr>
          <w:sz w:val="20"/>
          <w:szCs w:val="20"/>
          <w:color w:val="auto"/>
        </w:rPr>
        <w:tab/>
      </w:r>
      <w:r>
        <w:rPr>
          <w:rFonts w:ascii="Times New Roman" w:cs="Times New Roman" w:eastAsia="Times New Roman" w:hAnsi="Times New Roman"/>
          <w:sz w:val="17"/>
          <w:szCs w:val="17"/>
          <w:b w:val="1"/>
          <w:bCs w:val="1"/>
          <w:i w:val="1"/>
          <w:iCs w:val="1"/>
          <w:color w:val="auto"/>
        </w:rPr>
        <w:t>Exhibits:</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Exhibit 99.1</w:t>
            </w:r>
          </w:p>
        </w:tc>
        <w:tc>
          <w:tcPr>
            <w:tcW w:w="23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Press release dated May 7, 2026</w:t>
            </w:r>
          </w:p>
        </w:tc>
        <w:tc>
          <w:tcPr>
            <w:tcW w:w="7380" w:type="dxa"/>
            <w:vAlign w:val="bottom"/>
          </w:tcPr>
          <w:p>
            <w:pPr>
              <w:spacing w:after="0"/>
              <w:rPr>
                <w:sz w:val="17"/>
                <w:szCs w:val="17"/>
                <w:color w:val="auto"/>
              </w:rPr>
            </w:pPr>
          </w:p>
        </w:tc>
      </w:tr>
      <w:tr>
        <w:trPr>
          <w:trHeight w:val="270"/>
        </w:trPr>
        <w:tc>
          <w:tcPr>
            <w:tcW w:w="1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Exhibit 104</w:t>
            </w:r>
          </w:p>
        </w:tc>
        <w:tc>
          <w:tcPr>
            <w:tcW w:w="97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w:t>
            </w:r>
            <w:r>
              <w:rPr>
                <w:rFonts w:ascii="Times New Roman" w:cs="Times New Roman" w:eastAsia="Times New Roman" w:hAnsi="Times New Roman"/>
                <w:sz w:val="17"/>
                <w:szCs w:val="17"/>
                <w:color w:val="auto"/>
              </w:rPr>
              <w:t>over Page Interactive Data File (embedded within the Inline XBRL document)</w:t>
            </w:r>
          </w:p>
        </w:tc>
      </w:tr>
      <w:tr>
        <w:trPr>
          <w:trHeight w:val="865"/>
        </w:trPr>
        <w:tc>
          <w:tcPr>
            <w:tcW w:w="1540" w:type="dxa"/>
            <w:vAlign w:val="bottom"/>
            <w:tcBorders>
              <w:bottom w:val="single" w:sz="8" w:color="9A9A9A"/>
            </w:tcBorders>
          </w:tcPr>
          <w:p>
            <w:pPr>
              <w:spacing w:after="0"/>
              <w:rPr>
                <w:sz w:val="24"/>
                <w:szCs w:val="24"/>
                <w:color w:val="auto"/>
              </w:rPr>
            </w:pPr>
          </w:p>
        </w:tc>
        <w:tc>
          <w:tcPr>
            <w:tcW w:w="2320" w:type="dxa"/>
            <w:vAlign w:val="bottom"/>
            <w:tcBorders>
              <w:bottom w:val="single" w:sz="8" w:color="9A9A9A"/>
            </w:tcBorders>
          </w:tcPr>
          <w:p>
            <w:pPr>
              <w:spacing w:after="0"/>
              <w:rPr>
                <w:sz w:val="24"/>
                <w:szCs w:val="24"/>
                <w:color w:val="auto"/>
              </w:rPr>
            </w:pPr>
          </w:p>
        </w:tc>
        <w:tc>
          <w:tcPr>
            <w:tcW w:w="73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6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72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93"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160" w:type="dxa"/>
            <w:vAlign w:val="bottom"/>
          </w:tcPr>
          <w:p>
            <w:pPr>
              <w:spacing w:after="0"/>
              <w:rPr>
                <w:sz w:val="20"/>
                <w:szCs w:val="20"/>
                <w:color w:val="auto"/>
              </w:rPr>
            </w:pPr>
          </w:p>
        </w:tc>
        <w:tc>
          <w:tcPr>
            <w:tcW w:w="8060" w:type="dxa"/>
            <w:vAlign w:val="bottom"/>
            <w:gridSpan w:val="2"/>
          </w:tcPr>
          <w:p>
            <w:pPr>
              <w:ind w:left="1800"/>
              <w:spacing w:after="0"/>
              <w:rPr>
                <w:sz w:val="20"/>
                <w:szCs w:val="20"/>
                <w:color w:val="auto"/>
              </w:rPr>
            </w:pPr>
            <w:r>
              <w:rPr>
                <w:rFonts w:ascii="Times New Roman" w:cs="Times New Roman" w:eastAsia="Times New Roman" w:hAnsi="Times New Roman"/>
                <w:sz w:val="18"/>
                <w:szCs w:val="18"/>
                <w:b w:val="1"/>
                <w:bCs w:val="1"/>
                <w:color w:val="auto"/>
              </w:rPr>
              <w:t>GENPACT LIMITED</w:t>
            </w:r>
          </w:p>
        </w:tc>
      </w:tr>
      <w:tr>
        <w:trPr>
          <w:trHeight w:val="392"/>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Date: May 7, 2026</w:t>
            </w:r>
          </w:p>
        </w:tc>
        <w:tc>
          <w:tcPr>
            <w:tcW w:w="2760" w:type="dxa"/>
            <w:vAlign w:val="bottom"/>
          </w:tcPr>
          <w:p>
            <w:pPr>
              <w:ind w:left="1800"/>
              <w:spacing w:after="0"/>
              <w:rPr>
                <w:sz w:val="20"/>
                <w:szCs w:val="20"/>
                <w:color w:val="auto"/>
              </w:rPr>
            </w:pPr>
            <w:r>
              <w:rPr>
                <w:rFonts w:ascii="Times New Roman" w:cs="Times New Roman" w:eastAsia="Times New Roman" w:hAnsi="Times New Roman"/>
                <w:sz w:val="18"/>
                <w:szCs w:val="18"/>
                <w:color w:val="auto"/>
              </w:rPr>
              <w:t>By:</w:t>
            </w:r>
          </w:p>
        </w:tc>
        <w:tc>
          <w:tcPr>
            <w:tcW w:w="5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Michael Weiner</w:t>
            </w:r>
          </w:p>
        </w:tc>
      </w:tr>
      <w:tr>
        <w:trPr>
          <w:trHeight w:val="218"/>
        </w:trPr>
        <w:tc>
          <w:tcPr>
            <w:tcW w:w="3160" w:type="dxa"/>
            <w:vAlign w:val="bottom"/>
          </w:tcPr>
          <w:p>
            <w:pPr>
              <w:spacing w:after="0"/>
              <w:rPr>
                <w:sz w:val="18"/>
                <w:szCs w:val="18"/>
                <w:color w:val="auto"/>
              </w:rPr>
            </w:pPr>
          </w:p>
        </w:tc>
        <w:tc>
          <w:tcPr>
            <w:tcW w:w="2760" w:type="dxa"/>
            <w:vAlign w:val="bottom"/>
          </w:tcPr>
          <w:p>
            <w:pPr>
              <w:ind w:left="1800"/>
              <w:spacing w:after="0"/>
              <w:rPr>
                <w:sz w:val="20"/>
                <w:szCs w:val="20"/>
                <w:color w:val="auto"/>
              </w:rPr>
            </w:pPr>
            <w:r>
              <w:rPr>
                <w:rFonts w:ascii="Times New Roman" w:cs="Times New Roman" w:eastAsia="Times New Roman" w:hAnsi="Times New Roman"/>
                <w:sz w:val="18"/>
                <w:szCs w:val="18"/>
                <w:color w:val="auto"/>
              </w:rPr>
              <w:t>Name:</w:t>
            </w:r>
          </w:p>
        </w:tc>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Michael Weiner</w:t>
            </w:r>
          </w:p>
        </w:tc>
      </w:tr>
      <w:tr>
        <w:trPr>
          <w:trHeight w:val="234"/>
        </w:trPr>
        <w:tc>
          <w:tcPr>
            <w:tcW w:w="3160" w:type="dxa"/>
            <w:vAlign w:val="bottom"/>
          </w:tcPr>
          <w:p>
            <w:pPr>
              <w:spacing w:after="0"/>
              <w:rPr>
                <w:sz w:val="20"/>
                <w:szCs w:val="20"/>
                <w:color w:val="auto"/>
              </w:rPr>
            </w:pPr>
          </w:p>
        </w:tc>
        <w:tc>
          <w:tcPr>
            <w:tcW w:w="2760" w:type="dxa"/>
            <w:vAlign w:val="bottom"/>
          </w:tcPr>
          <w:p>
            <w:pPr>
              <w:ind w:left="1800"/>
              <w:spacing w:after="0"/>
              <w:rPr>
                <w:sz w:val="20"/>
                <w:szCs w:val="20"/>
                <w:color w:val="auto"/>
              </w:rPr>
            </w:pPr>
            <w:r>
              <w:rPr>
                <w:rFonts w:ascii="Times New Roman" w:cs="Times New Roman" w:eastAsia="Times New Roman" w:hAnsi="Times New Roman"/>
                <w:sz w:val="18"/>
                <w:szCs w:val="18"/>
                <w:color w:val="auto"/>
              </w:rPr>
              <w:t>Title:</w:t>
            </w:r>
          </w:p>
        </w:tc>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Vice President, Chief Financial Officer</w:t>
            </w:r>
          </w:p>
        </w:tc>
      </w:tr>
    </w:tbl>
    <w:p>
      <w:pPr>
        <w:sectPr>
          <w:pgSz w:w="11900" w:h="16838" w:orient="portrait"/>
          <w:cols w:equalWidth="0" w:num="1">
            <w:col w:w="11240"/>
          </w:cols>
          <w:pgMar w:left="320" w:top="765"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0"/>
          <w:szCs w:val="20"/>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4916805</wp:posOffset>
            </wp:positionH>
            <wp:positionV relativeFrom="paragraph">
              <wp:posOffset>281940</wp:posOffset>
            </wp:positionV>
            <wp:extent cx="2219960" cy="11741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219960" cy="11741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Genpact Reports First Quarter 2026 Results</w:t>
      </w:r>
    </w:p>
    <w:p>
      <w:pPr>
        <w:spacing w:after="0" w:line="255" w:lineRule="exact"/>
        <w:rPr>
          <w:sz w:val="20"/>
          <w:szCs w:val="20"/>
          <w:color w:val="auto"/>
        </w:rPr>
      </w:pPr>
    </w:p>
    <w:p>
      <w:pPr>
        <w:jc w:val="center"/>
        <w:ind w:left="340" w:right="60"/>
        <w:spacing w:after="0" w:line="282" w:lineRule="auto"/>
        <w:rPr>
          <w:sz w:val="20"/>
          <w:szCs w:val="20"/>
          <w:color w:val="auto"/>
        </w:rPr>
      </w:pPr>
      <w:r>
        <w:rPr>
          <w:rFonts w:ascii="Arial" w:cs="Arial" w:eastAsia="Arial" w:hAnsi="Arial"/>
          <w:sz w:val="20"/>
          <w:szCs w:val="20"/>
          <w:b w:val="1"/>
          <w:bCs w:val="1"/>
          <w:i w:val="1"/>
          <w:iCs w:val="1"/>
          <w:color w:val="auto"/>
        </w:rPr>
        <w:t>Advanced Technology Solutions net revenue growth accelerates to 24% year-over-year, now representing 27% of total net revenues</w:t>
      </w:r>
    </w:p>
    <w:p>
      <w:pPr>
        <w:spacing w:after="0" w:line="160" w:lineRule="exact"/>
        <w:rPr>
          <w:sz w:val="20"/>
          <w:szCs w:val="20"/>
          <w:color w:val="auto"/>
        </w:rPr>
      </w:pPr>
    </w:p>
    <w:p>
      <w:pPr>
        <w:ind w:right="140"/>
        <w:spacing w:after="0" w:line="263" w:lineRule="auto"/>
        <w:rPr>
          <w:sz w:val="20"/>
          <w:szCs w:val="20"/>
          <w:color w:val="auto"/>
        </w:rPr>
      </w:pPr>
      <w:r>
        <w:rPr>
          <w:rFonts w:ascii="Arial" w:cs="Arial" w:eastAsia="Arial" w:hAnsi="Arial"/>
          <w:sz w:val="20"/>
          <w:szCs w:val="20"/>
          <w:b w:val="1"/>
          <w:bCs w:val="1"/>
          <w:color w:val="auto"/>
        </w:rPr>
        <w:t xml:space="preserve">NEW YORK, May 7, 2026 </w:t>
      </w:r>
      <w:r>
        <w:rPr>
          <w:rFonts w:ascii="Arial" w:cs="Arial" w:eastAsia="Arial" w:hAnsi="Arial"/>
          <w:sz w:val="20"/>
          <w:szCs w:val="20"/>
          <w:color w:val="auto"/>
        </w:rPr>
        <w:t>— Genpact Limited (NYSE: G), an agentic and advanced technology solutions company recognized</w:t>
      </w:r>
      <w:r>
        <w:rPr>
          <w:rFonts w:ascii="Arial" w:cs="Arial" w:eastAsia="Arial" w:hAnsi="Arial"/>
          <w:sz w:val="20"/>
          <w:szCs w:val="20"/>
          <w:b w:val="1"/>
          <w:bCs w:val="1"/>
          <w:color w:val="auto"/>
        </w:rPr>
        <w:t xml:space="preserve"> </w:t>
      </w:r>
      <w:r>
        <w:rPr>
          <w:rFonts w:ascii="Arial" w:cs="Arial" w:eastAsia="Arial" w:hAnsi="Arial"/>
          <w:sz w:val="20"/>
          <w:szCs w:val="20"/>
          <w:color w:val="auto"/>
        </w:rPr>
        <w:t>for its deep industry knowledge, process intelligence, and last-mile expertise, today announced financial results for the first quarter ended March 31, 2026.</w:t>
      </w:r>
    </w:p>
    <w:p>
      <w:pPr>
        <w:spacing w:after="0" w:line="204" w:lineRule="exact"/>
        <w:rPr>
          <w:sz w:val="20"/>
          <w:szCs w:val="20"/>
          <w:color w:val="auto"/>
        </w:rPr>
      </w:pPr>
    </w:p>
    <w:p>
      <w:pPr>
        <w:ind w:right="20"/>
        <w:spacing w:after="0" w:line="254" w:lineRule="auto"/>
        <w:rPr>
          <w:sz w:val="20"/>
          <w:szCs w:val="20"/>
          <w:color w:val="auto"/>
        </w:rPr>
      </w:pPr>
      <w:r>
        <w:rPr>
          <w:rFonts w:ascii="Arial" w:cs="Arial" w:eastAsia="Arial" w:hAnsi="Arial"/>
          <w:sz w:val="20"/>
          <w:szCs w:val="20"/>
          <w:color w:val="auto"/>
        </w:rPr>
        <w:t xml:space="preserve">“The first quarter was a record start to the year, with Advanced Technology Solutions net revenue growth accelerating to 24%, now representing 27% of total net revenues. We are leading the shift to Agentic Operations and winning,” said </w:t>
      </w:r>
      <w:r>
        <w:rPr>
          <w:rFonts w:ascii="Arial" w:cs="Arial" w:eastAsia="Arial" w:hAnsi="Arial"/>
          <w:sz w:val="20"/>
          <w:szCs w:val="20"/>
          <w:b w:val="1"/>
          <w:bCs w:val="1"/>
          <w:color w:val="auto"/>
        </w:rPr>
        <w:t>Balkrishan “BK”</w:t>
      </w:r>
      <w:r>
        <w:rPr>
          <w:rFonts w:ascii="Arial" w:cs="Arial" w:eastAsia="Arial" w:hAnsi="Arial"/>
          <w:sz w:val="20"/>
          <w:szCs w:val="20"/>
          <w:color w:val="auto"/>
        </w:rPr>
        <w:t xml:space="preserve"> </w:t>
      </w:r>
      <w:r>
        <w:rPr>
          <w:rFonts w:ascii="Arial" w:cs="Arial" w:eastAsia="Arial" w:hAnsi="Arial"/>
          <w:sz w:val="20"/>
          <w:szCs w:val="20"/>
          <w:b w:val="1"/>
          <w:bCs w:val="1"/>
          <w:color w:val="auto"/>
        </w:rPr>
        <w:t xml:space="preserve">Kalra, President and CEO, Genpact. </w:t>
      </w:r>
      <w:r>
        <w:rPr>
          <w:rFonts w:ascii="Arial" w:cs="Arial" w:eastAsia="Arial" w:hAnsi="Arial"/>
          <w:sz w:val="20"/>
          <w:szCs w:val="20"/>
          <w:color w:val="auto"/>
        </w:rPr>
        <w:t>“Clients choose Genpact because agentic transformation only succeeds when it's</w:t>
      </w:r>
      <w:r>
        <w:rPr>
          <w:rFonts w:ascii="Arial" w:cs="Arial" w:eastAsia="Arial" w:hAnsi="Arial"/>
          <w:sz w:val="20"/>
          <w:szCs w:val="20"/>
          <w:b w:val="1"/>
          <w:bCs w:val="1"/>
          <w:color w:val="auto"/>
        </w:rPr>
        <w:t xml:space="preserve"> </w:t>
      </w:r>
      <w:r>
        <w:rPr>
          <w:rFonts w:ascii="Arial" w:cs="Arial" w:eastAsia="Arial" w:hAnsi="Arial"/>
          <w:sz w:val="20"/>
          <w:szCs w:val="20"/>
          <w:color w:val="auto"/>
        </w:rPr>
        <w:t>grounded in real-world expertise. It's our decades of last-mile domain and process knowledge, codified and embedded into every agentic solution, that turns ambition into outcomes. A new Genpact is taking shape, and our results speak for themselves.”</w:t>
      </w:r>
    </w:p>
    <w:p>
      <w:pPr>
        <w:spacing w:after="0" w:line="200" w:lineRule="exact"/>
        <w:rPr>
          <w:sz w:val="20"/>
          <w:szCs w:val="20"/>
          <w:color w:val="auto"/>
        </w:rPr>
      </w:pPr>
    </w:p>
    <w:p>
      <w:pPr>
        <w:ind w:right="240"/>
        <w:spacing w:after="0" w:line="239" w:lineRule="auto"/>
        <w:rPr>
          <w:sz w:val="20"/>
          <w:szCs w:val="20"/>
          <w:color w:val="auto"/>
        </w:rPr>
      </w:pPr>
      <w:r>
        <w:rPr>
          <w:rFonts w:ascii="Arial" w:cs="Arial" w:eastAsia="Arial" w:hAnsi="Arial"/>
          <w:sz w:val="20"/>
          <w:szCs w:val="20"/>
          <w:color w:val="242424"/>
        </w:rPr>
        <w:t>“</w:t>
      </w:r>
      <w:r>
        <w:rPr>
          <w:rFonts w:ascii="Arial" w:cs="Arial" w:eastAsia="Arial" w:hAnsi="Arial"/>
          <w:sz w:val="20"/>
          <w:szCs w:val="20"/>
          <w:color w:val="000000"/>
        </w:rPr>
        <w:t>We delivered another strong quarter — with net revenues up 6.7%, diluted earnings per share up 17.8% and adjusted diluted</w:t>
      </w:r>
      <w:r>
        <w:rPr>
          <w:rFonts w:ascii="Arial" w:cs="Arial" w:eastAsia="Arial" w:hAnsi="Arial"/>
          <w:sz w:val="20"/>
          <w:szCs w:val="20"/>
          <w:color w:val="242424"/>
        </w:rPr>
        <w:t xml:space="preserve"> </w:t>
      </w:r>
      <w:r>
        <w:rPr>
          <w:rFonts w:ascii="Arial" w:cs="Arial" w:eastAsia="Arial" w:hAnsi="Arial"/>
          <w:sz w:val="20"/>
          <w:szCs w:val="20"/>
          <w:color w:val="000000"/>
        </w:rPr>
        <w:t>earnings per share</w:t>
      </w:r>
      <w:r>
        <w:rPr>
          <w:rFonts w:ascii="Arial" w:cs="Arial" w:eastAsia="Arial" w:hAnsi="Arial"/>
          <w:sz w:val="25"/>
          <w:szCs w:val="25"/>
          <w:color w:val="000000"/>
          <w:vertAlign w:val="superscript"/>
        </w:rPr>
        <w:t>1</w:t>
      </w:r>
      <w:r>
        <w:rPr>
          <w:rFonts w:ascii="Arial" w:cs="Arial" w:eastAsia="Arial" w:hAnsi="Arial"/>
          <w:sz w:val="20"/>
          <w:szCs w:val="20"/>
          <w:color w:val="000000"/>
        </w:rPr>
        <w:t xml:space="preserve"> increasing 16.7% year-over-year. Q1’26 marks our 12th consecutive quarter of gross margin expansion year-over-year, clearly demonstrating that our operational discipline and deliberate pivot to high-value advanced technology revenue are compounding into durable, structural gains,” said </w:t>
      </w:r>
      <w:r>
        <w:rPr>
          <w:rFonts w:ascii="Arial" w:cs="Arial" w:eastAsia="Arial" w:hAnsi="Arial"/>
          <w:sz w:val="20"/>
          <w:szCs w:val="20"/>
          <w:b w:val="1"/>
          <w:bCs w:val="1"/>
          <w:color w:val="000000"/>
        </w:rPr>
        <w:t>Michael Weiner, Chief Financial Officer, Genpact</w:t>
      </w:r>
      <w:r>
        <w:rPr>
          <w:rFonts w:ascii="Arial" w:cs="Arial" w:eastAsia="Arial" w:hAnsi="Arial"/>
          <w:sz w:val="20"/>
          <w:szCs w:val="20"/>
          <w:color w:val="000000"/>
        </w:rPr>
        <w:t>. “With our significant momentum and growing demand, we are in a strong position for the remainder of the year.”</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Key Financial Highlights – First Quarter 2026</w:t>
      </w:r>
    </w:p>
    <w:p>
      <w:pPr>
        <w:spacing w:after="0" w:line="150" w:lineRule="exact"/>
        <w:rPr>
          <w:sz w:val="20"/>
          <w:szCs w:val="20"/>
          <w:color w:val="auto"/>
        </w:rPr>
      </w:pPr>
    </w:p>
    <w:p>
      <w:pPr>
        <w:ind w:left="660" w:hanging="328"/>
        <w:spacing w:after="0"/>
        <w:tabs>
          <w:tab w:leader="none" w:pos="660" w:val="left"/>
        </w:tabs>
        <w:numPr>
          <w:ilvl w:val="0"/>
          <w:numId w:val="2"/>
        </w:numPr>
        <w:rPr>
          <w:rFonts w:ascii="Arial" w:cs="Arial" w:eastAsia="Arial" w:hAnsi="Arial"/>
          <w:sz w:val="22"/>
          <w:szCs w:val="22"/>
          <w:color w:val="auto"/>
        </w:rPr>
      </w:pPr>
      <w:r>
        <w:rPr>
          <w:rFonts w:ascii="Arial" w:cs="Arial" w:eastAsia="Arial" w:hAnsi="Arial"/>
          <w:sz w:val="20"/>
          <w:szCs w:val="20"/>
          <w:color w:val="auto"/>
        </w:rPr>
        <w:t>Net revenues were $1.296 billion, up 6.7% year-over-year, and 5.6% on a constant currency basis.</w:t>
      </w:r>
      <w:r>
        <w:rPr>
          <w:rFonts w:ascii="Arial" w:cs="Arial" w:eastAsia="Arial" w:hAnsi="Arial"/>
          <w:sz w:val="25"/>
          <w:szCs w:val="25"/>
          <w:color w:val="auto"/>
          <w:vertAlign w:val="superscript"/>
        </w:rPr>
        <w:t>2</w:t>
      </w:r>
    </w:p>
    <w:p>
      <w:pPr>
        <w:spacing w:after="0" w:line="77" w:lineRule="exact"/>
        <w:rPr>
          <w:rFonts w:ascii="Arial" w:cs="Arial" w:eastAsia="Arial" w:hAnsi="Arial"/>
          <w:sz w:val="22"/>
          <w:szCs w:val="22"/>
          <w:color w:val="auto"/>
        </w:rPr>
      </w:pPr>
    </w:p>
    <w:p>
      <w:pPr>
        <w:ind w:left="980" w:right="80" w:hanging="324"/>
        <w:spacing w:after="0" w:line="262" w:lineRule="auto"/>
        <w:tabs>
          <w:tab w:leader="none" w:pos="976" w:val="left"/>
        </w:tabs>
        <w:numPr>
          <w:ilvl w:val="1"/>
          <w:numId w:val="2"/>
        </w:numPr>
        <w:rPr>
          <w:rFonts w:ascii="Arial" w:cs="Arial" w:eastAsia="Arial" w:hAnsi="Arial"/>
          <w:sz w:val="22"/>
          <w:szCs w:val="22"/>
          <w:color w:val="auto"/>
        </w:rPr>
      </w:pPr>
      <w:r>
        <w:rPr>
          <w:rFonts w:ascii="Arial" w:cs="Arial" w:eastAsia="Arial" w:hAnsi="Arial"/>
          <w:sz w:val="20"/>
          <w:szCs w:val="20"/>
          <w:color w:val="auto"/>
        </w:rPr>
        <w:t>Advanced Technology Solutions net revenues were $345 million, up 24.3% year-over-year, representing 27% of total net revenues.</w:t>
      </w:r>
    </w:p>
    <w:p>
      <w:pPr>
        <w:spacing w:after="0" w:line="80" w:lineRule="exact"/>
        <w:rPr>
          <w:rFonts w:ascii="Arial" w:cs="Arial" w:eastAsia="Arial" w:hAnsi="Arial"/>
          <w:sz w:val="22"/>
          <w:szCs w:val="22"/>
          <w:color w:val="auto"/>
        </w:rPr>
      </w:pPr>
    </w:p>
    <w:p>
      <w:pPr>
        <w:ind w:left="980" w:right="560" w:hanging="324"/>
        <w:spacing w:after="0" w:line="262" w:lineRule="auto"/>
        <w:tabs>
          <w:tab w:leader="none" w:pos="976" w:val="left"/>
        </w:tabs>
        <w:numPr>
          <w:ilvl w:val="1"/>
          <w:numId w:val="2"/>
        </w:numPr>
        <w:rPr>
          <w:rFonts w:ascii="Arial" w:cs="Arial" w:eastAsia="Arial" w:hAnsi="Arial"/>
          <w:sz w:val="22"/>
          <w:szCs w:val="22"/>
          <w:color w:val="auto"/>
        </w:rPr>
      </w:pPr>
      <w:r>
        <w:rPr>
          <w:rFonts w:ascii="Arial" w:cs="Arial" w:eastAsia="Arial" w:hAnsi="Arial"/>
          <w:sz w:val="20"/>
          <w:szCs w:val="20"/>
          <w:color w:val="auto"/>
        </w:rPr>
        <w:t>Core Business Services net revenues were $951 million, up 1.4% year-over-year, representing 73% of total net revenues.</w:t>
      </w:r>
    </w:p>
    <w:p>
      <w:pPr>
        <w:spacing w:after="0" w:line="66" w:lineRule="exact"/>
        <w:rPr>
          <w:rFonts w:ascii="Arial" w:cs="Arial" w:eastAsia="Arial" w:hAnsi="Arial"/>
          <w:sz w:val="22"/>
          <w:szCs w:val="22"/>
          <w:color w:val="auto"/>
        </w:rPr>
      </w:pPr>
    </w:p>
    <w:p>
      <w:pPr>
        <w:ind w:left="640" w:hanging="308"/>
        <w:spacing w:after="0"/>
        <w:tabs>
          <w:tab w:leader="none" w:pos="640" w:val="left"/>
        </w:tabs>
        <w:numPr>
          <w:ilvl w:val="0"/>
          <w:numId w:val="2"/>
        </w:numPr>
        <w:rPr>
          <w:rFonts w:ascii="Arial" w:cs="Arial" w:eastAsia="Arial" w:hAnsi="Arial"/>
          <w:sz w:val="20"/>
          <w:szCs w:val="20"/>
          <w:color w:val="auto"/>
        </w:rPr>
      </w:pPr>
      <w:r>
        <w:rPr>
          <w:rFonts w:ascii="Arial" w:cs="Arial" w:eastAsia="Arial" w:hAnsi="Arial"/>
          <w:sz w:val="20"/>
          <w:szCs w:val="20"/>
          <w:color w:val="auto"/>
        </w:rPr>
        <w:t>Gross profit was $472 million, up 9.9% year-over-year, with a corresponding margin of 36.4%.</w:t>
      </w:r>
    </w:p>
    <w:p>
      <w:pPr>
        <w:spacing w:after="0" w:line="134" w:lineRule="exact"/>
        <w:rPr>
          <w:rFonts w:ascii="Arial" w:cs="Arial" w:eastAsia="Arial" w:hAnsi="Arial"/>
          <w:sz w:val="20"/>
          <w:szCs w:val="20"/>
          <w:color w:val="auto"/>
        </w:rPr>
      </w:pPr>
    </w:p>
    <w:p>
      <w:pPr>
        <w:ind w:left="660" w:hanging="328"/>
        <w:spacing w:after="0"/>
        <w:tabs>
          <w:tab w:leader="none" w:pos="660" w:val="left"/>
        </w:tabs>
        <w:numPr>
          <w:ilvl w:val="0"/>
          <w:numId w:val="2"/>
        </w:numPr>
        <w:rPr>
          <w:rFonts w:ascii="Arial" w:cs="Arial" w:eastAsia="Arial" w:hAnsi="Arial"/>
          <w:sz w:val="22"/>
          <w:szCs w:val="22"/>
          <w:color w:val="auto"/>
        </w:rPr>
      </w:pPr>
      <w:r>
        <w:rPr>
          <w:rFonts w:ascii="Arial" w:cs="Arial" w:eastAsia="Arial" w:hAnsi="Arial"/>
          <w:sz w:val="20"/>
          <w:szCs w:val="20"/>
          <w:color w:val="auto"/>
        </w:rPr>
        <w:t>Net income was $148 million, up 13.1% year-over-year, with a corresponding margin of 11.4%.</w:t>
      </w:r>
    </w:p>
    <w:p>
      <w:pPr>
        <w:spacing w:after="0" w:line="125" w:lineRule="exact"/>
        <w:rPr>
          <w:rFonts w:ascii="Arial" w:cs="Arial" w:eastAsia="Arial" w:hAnsi="Arial"/>
          <w:sz w:val="22"/>
          <w:szCs w:val="22"/>
          <w:color w:val="auto"/>
        </w:rPr>
      </w:pPr>
    </w:p>
    <w:p>
      <w:pPr>
        <w:ind w:left="660" w:hanging="328"/>
        <w:spacing w:after="0"/>
        <w:tabs>
          <w:tab w:leader="none" w:pos="660" w:val="left"/>
        </w:tabs>
        <w:numPr>
          <w:ilvl w:val="0"/>
          <w:numId w:val="2"/>
        </w:numPr>
        <w:rPr>
          <w:rFonts w:ascii="Arial" w:cs="Arial" w:eastAsia="Arial" w:hAnsi="Arial"/>
          <w:sz w:val="22"/>
          <w:szCs w:val="22"/>
          <w:color w:val="auto"/>
        </w:rPr>
      </w:pPr>
      <w:r>
        <w:rPr>
          <w:rFonts w:ascii="Arial" w:cs="Arial" w:eastAsia="Arial" w:hAnsi="Arial"/>
          <w:sz w:val="20"/>
          <w:szCs w:val="20"/>
          <w:color w:val="auto"/>
        </w:rPr>
        <w:t>Income from operations was $199 million, up 8.1% year-over-year, with a corresponding margin of 15.3%.</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2"/>
        </w:numPr>
        <w:rPr>
          <w:rFonts w:ascii="Arial" w:cs="Arial" w:eastAsia="Arial" w:hAnsi="Arial"/>
          <w:sz w:val="22"/>
          <w:szCs w:val="22"/>
          <w:color w:val="auto"/>
        </w:rPr>
      </w:pPr>
      <w:r>
        <w:rPr>
          <w:rFonts w:ascii="Arial" w:cs="Arial" w:eastAsia="Arial" w:hAnsi="Arial"/>
          <w:sz w:val="20"/>
          <w:szCs w:val="20"/>
          <w:color w:val="auto"/>
        </w:rPr>
        <w:t>Adjusted income from operations was $224 million, up 6.6% year-over-year, with a corresponding margin of 17.3%.</w:t>
      </w:r>
      <w:r>
        <w:rPr>
          <w:rFonts w:ascii="Arial" w:cs="Arial" w:eastAsia="Arial" w:hAnsi="Arial"/>
          <w:sz w:val="25"/>
          <w:szCs w:val="25"/>
          <w:color w:val="auto"/>
          <w:vertAlign w:val="superscript"/>
        </w:rPr>
        <w:t>3</w:t>
      </w:r>
    </w:p>
    <w:p>
      <w:pPr>
        <w:spacing w:after="0" w:line="90" w:lineRule="exact"/>
        <w:rPr>
          <w:rFonts w:ascii="Arial" w:cs="Arial" w:eastAsia="Arial" w:hAnsi="Arial"/>
          <w:sz w:val="22"/>
          <w:szCs w:val="22"/>
          <w:color w:val="auto"/>
        </w:rPr>
      </w:pPr>
    </w:p>
    <w:p>
      <w:pPr>
        <w:ind w:left="660" w:hanging="328"/>
        <w:spacing w:after="0"/>
        <w:tabs>
          <w:tab w:leader="none" w:pos="660" w:val="left"/>
        </w:tabs>
        <w:numPr>
          <w:ilvl w:val="0"/>
          <w:numId w:val="2"/>
        </w:numPr>
        <w:rPr>
          <w:rFonts w:ascii="Arial" w:cs="Arial" w:eastAsia="Arial" w:hAnsi="Arial"/>
          <w:sz w:val="22"/>
          <w:szCs w:val="22"/>
          <w:color w:val="auto"/>
        </w:rPr>
      </w:pPr>
      <w:r>
        <w:rPr>
          <w:rFonts w:ascii="Arial" w:cs="Arial" w:eastAsia="Arial" w:hAnsi="Arial"/>
          <w:sz w:val="20"/>
          <w:szCs w:val="20"/>
          <w:color w:val="auto"/>
        </w:rPr>
        <w:t>Diluted earnings per share was $0.86, up 17.8% year-over-year.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118745</wp:posOffset>
            </wp:positionV>
            <wp:extent cx="17145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66" w:lineRule="exact"/>
        <w:rPr>
          <w:sz w:val="20"/>
          <w:szCs w:val="20"/>
          <w:color w:val="auto"/>
        </w:rPr>
      </w:pPr>
    </w:p>
    <w:p>
      <w:pPr>
        <w:ind w:right="320" w:firstLine="8"/>
        <w:spacing w:after="0" w:line="230" w:lineRule="auto"/>
        <w:tabs>
          <w:tab w:leader="none" w:pos="92" w:val="left"/>
        </w:tabs>
        <w:numPr>
          <w:ilvl w:val="0"/>
          <w:numId w:val="3"/>
        </w:numPr>
        <w:rPr>
          <w:rFonts w:ascii="Arial" w:cs="Arial" w:eastAsia="Arial" w:hAnsi="Arial"/>
          <w:sz w:val="19"/>
          <w:szCs w:val="19"/>
          <w:color w:val="auto"/>
          <w:vertAlign w:val="superscript"/>
        </w:rPr>
      </w:pPr>
      <w:r>
        <w:rPr>
          <w:rFonts w:ascii="Arial" w:cs="Arial" w:eastAsia="Arial" w:hAnsi="Arial"/>
          <w:sz w:val="14"/>
          <w:szCs w:val="14"/>
          <w:color w:val="auto"/>
        </w:rPr>
        <w:t>Adjusted diluted earnings per share is a non-GAAP measure. A reconciliation of GAAP diluted earnings per share to adjusted diluted earnings per share is attached to this release.</w:t>
      </w:r>
    </w:p>
    <w:p>
      <w:pPr>
        <w:spacing w:after="0" w:line="1" w:lineRule="exact"/>
        <w:rPr>
          <w:rFonts w:ascii="Arial" w:cs="Arial" w:eastAsia="Arial" w:hAnsi="Arial"/>
          <w:sz w:val="19"/>
          <w:szCs w:val="19"/>
          <w:color w:val="auto"/>
          <w:vertAlign w:val="superscript"/>
        </w:rPr>
      </w:pPr>
    </w:p>
    <w:p>
      <w:pPr>
        <w:ind w:right="380"/>
        <w:spacing w:after="0" w:line="220" w:lineRule="auto"/>
        <w:rPr>
          <w:rFonts w:ascii="Arial" w:cs="Arial" w:eastAsia="Arial" w:hAnsi="Arial"/>
          <w:sz w:val="19"/>
          <w:szCs w:val="19"/>
          <w:color w:val="auto"/>
          <w:vertAlign w:val="superscript"/>
        </w:rPr>
      </w:pPr>
      <w:r>
        <w:rPr>
          <w:rFonts w:ascii="Arial" w:cs="Arial" w:eastAsia="Arial" w:hAnsi="Arial"/>
          <w:sz w:val="18"/>
          <w:szCs w:val="18"/>
          <w:color w:val="auto"/>
          <w:vertAlign w:val="superscript"/>
        </w:rPr>
        <w:t>2</w:t>
      </w:r>
      <w:r>
        <w:rPr>
          <w:rFonts w:ascii="Arial" w:cs="Arial" w:eastAsia="Arial" w:hAnsi="Arial"/>
          <w:sz w:val="14"/>
          <w:szCs w:val="14"/>
          <w:color w:val="auto"/>
        </w:rPr>
        <w:t xml:space="preserve"> Revenue growth on a constant currency basis is a non-GAAP measure and is calculated by restating current-period activity using the prior fiscal period's foreign currency exchange rates adjusted for hedging gains/losses in such period.</w:t>
      </w:r>
    </w:p>
    <w:p>
      <w:pPr>
        <w:ind w:right="80"/>
        <w:spacing w:after="0" w:line="239" w:lineRule="auto"/>
        <w:rPr>
          <w:rFonts w:ascii="Arial" w:cs="Arial" w:eastAsia="Arial" w:hAnsi="Arial"/>
          <w:sz w:val="19"/>
          <w:szCs w:val="19"/>
          <w:color w:val="auto"/>
          <w:vertAlign w:val="superscript"/>
        </w:rPr>
      </w:pPr>
      <w:r>
        <w:rPr>
          <w:rFonts w:ascii="Arial" w:cs="Arial" w:eastAsia="Arial" w:hAnsi="Arial"/>
          <w:sz w:val="18"/>
          <w:szCs w:val="18"/>
          <w:color w:val="auto"/>
          <w:vertAlign w:val="superscript"/>
        </w:rPr>
        <w:t>3</w:t>
      </w:r>
      <w:r>
        <w:rPr>
          <w:rFonts w:ascii="Arial" w:cs="Arial" w:eastAsia="Arial" w:hAnsi="Arial"/>
          <w:sz w:val="14"/>
          <w:szCs w:val="14"/>
          <w:color w:val="auto"/>
        </w:rPr>
        <w:t xml:space="preserve"> Adjusted income from operations and adjusted income from operations margin are non-GAAP measures. Reconciliations of each of GAAP income from operations and GAAP net income to adjusted income from operations and GAAP income from operations margin and GAAP net income margin to adjusted income from operations margin are attached to this release.</w:t>
      </w:r>
    </w:p>
    <w:p>
      <w:pPr>
        <w:sectPr>
          <w:pgSz w:w="11900" w:h="16838" w:orient="portrait"/>
          <w:cols w:equalWidth="0" w:num="1">
            <w:col w:w="11240"/>
          </w:cols>
          <w:pgMar w:left="320" w:top="114" w:right="339" w:bottom="1440" w:gutter="0" w:footer="0" w:header="0"/>
        </w:sectPr>
      </w:pPr>
    </w:p>
    <w:bookmarkStart w:id="4" w:name="page5"/>
    <w:bookmarkEnd w:id="4"/>
    <w:p>
      <w:pPr>
        <w:ind w:left="660" w:hanging="328"/>
        <w:spacing w:after="0"/>
        <w:tabs>
          <w:tab w:leader="none" w:pos="660" w:val="left"/>
        </w:tabs>
        <w:numPr>
          <w:ilvl w:val="0"/>
          <w:numId w:val="4"/>
        </w:numPr>
        <w:rPr>
          <w:rFonts w:ascii="Arial" w:cs="Arial" w:eastAsia="Arial" w:hAnsi="Arial"/>
          <w:sz w:val="22"/>
          <w:szCs w:val="22"/>
          <w:color w:val="auto"/>
        </w:rPr>
      </w:pPr>
      <w:r>
        <w:rPr>
          <w:rFonts w:ascii="Arial" w:cs="Arial" w:eastAsia="Arial" w:hAnsi="Arial"/>
          <w:sz w:val="20"/>
          <w:szCs w:val="20"/>
          <w:color w:val="auto"/>
        </w:rPr>
        <w:t>Adjusted diluted earnings per share</w:t>
      </w:r>
      <w:r>
        <w:rPr>
          <w:rFonts w:ascii="Arial" w:cs="Arial" w:eastAsia="Arial" w:hAnsi="Arial"/>
          <w:sz w:val="25"/>
          <w:szCs w:val="25"/>
          <w:color w:val="auto"/>
          <w:vertAlign w:val="superscript"/>
        </w:rPr>
        <w:t>1</w:t>
      </w:r>
      <w:r>
        <w:rPr>
          <w:rFonts w:ascii="Arial" w:cs="Arial" w:eastAsia="Arial" w:hAnsi="Arial"/>
          <w:sz w:val="20"/>
          <w:szCs w:val="20"/>
          <w:color w:val="auto"/>
        </w:rPr>
        <w:t xml:space="preserve"> was $0.98, up 16.7% year-over-year.</w:t>
      </w:r>
    </w:p>
    <w:p>
      <w:pPr>
        <w:spacing w:after="0" w:line="63" w:lineRule="exact"/>
        <w:rPr>
          <w:rFonts w:ascii="Arial" w:cs="Arial" w:eastAsia="Arial" w:hAnsi="Arial"/>
          <w:sz w:val="22"/>
          <w:szCs w:val="22"/>
          <w:color w:val="auto"/>
        </w:rPr>
      </w:pPr>
    </w:p>
    <w:p>
      <w:pPr>
        <w:ind w:left="660" w:right="440" w:hanging="328"/>
        <w:spacing w:after="0" w:line="271" w:lineRule="auto"/>
        <w:tabs>
          <w:tab w:leader="none" w:pos="648" w:val="left"/>
        </w:tabs>
        <w:numPr>
          <w:ilvl w:val="0"/>
          <w:numId w:val="4"/>
        </w:numPr>
        <w:rPr>
          <w:rFonts w:ascii="Arial" w:cs="Arial" w:eastAsia="Arial" w:hAnsi="Arial"/>
          <w:sz w:val="20"/>
          <w:szCs w:val="20"/>
          <w:color w:val="auto"/>
        </w:rPr>
      </w:pPr>
      <w:r>
        <w:rPr>
          <w:rFonts w:ascii="Arial" w:cs="Arial" w:eastAsia="Arial" w:hAnsi="Arial"/>
          <w:sz w:val="20"/>
          <w:szCs w:val="20"/>
          <w:color w:val="auto"/>
        </w:rPr>
        <w:t>Cash utilized in operations was $24 million, compared to $40 million generated from operations in the first quarter of 2025.</w:t>
      </w:r>
    </w:p>
    <w:p>
      <w:pPr>
        <w:spacing w:after="0" w:line="61" w:lineRule="exact"/>
        <w:rPr>
          <w:rFonts w:ascii="Arial" w:cs="Arial" w:eastAsia="Arial" w:hAnsi="Arial"/>
          <w:sz w:val="20"/>
          <w:szCs w:val="20"/>
          <w:color w:val="auto"/>
        </w:rPr>
      </w:pPr>
    </w:p>
    <w:p>
      <w:pPr>
        <w:ind w:left="660" w:right="1200" w:hanging="328"/>
        <w:spacing w:after="0" w:line="271" w:lineRule="auto"/>
        <w:tabs>
          <w:tab w:leader="none" w:pos="648" w:val="left"/>
        </w:tabs>
        <w:numPr>
          <w:ilvl w:val="0"/>
          <w:numId w:val="4"/>
        </w:numPr>
        <w:rPr>
          <w:rFonts w:ascii="Arial" w:cs="Arial" w:eastAsia="Arial" w:hAnsi="Arial"/>
          <w:sz w:val="20"/>
          <w:szCs w:val="20"/>
          <w:color w:val="auto"/>
        </w:rPr>
      </w:pPr>
      <w:r>
        <w:rPr>
          <w:rFonts w:ascii="Arial" w:cs="Arial" w:eastAsia="Arial" w:hAnsi="Arial"/>
          <w:sz w:val="20"/>
          <w:szCs w:val="20"/>
          <w:color w:val="auto"/>
        </w:rPr>
        <w:t>Genpact repurchased approximately 1.8 million common shares during the quarter for total consideration of approximately $70 million at an average price per share of $38.61.</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Outlook</w:t>
      </w:r>
    </w:p>
    <w:p>
      <w:pPr>
        <w:spacing w:after="0" w:line="231" w:lineRule="exact"/>
        <w:rPr>
          <w:sz w:val="20"/>
          <w:szCs w:val="20"/>
          <w:color w:val="auto"/>
        </w:rPr>
      </w:pPr>
    </w:p>
    <w:p>
      <w:pPr>
        <w:spacing w:after="0"/>
        <w:rPr>
          <w:sz w:val="20"/>
          <w:szCs w:val="20"/>
          <w:color w:val="auto"/>
        </w:rPr>
      </w:pPr>
      <w:r>
        <w:rPr>
          <w:rFonts w:ascii="Arial" w:cs="Arial" w:eastAsia="Arial" w:hAnsi="Arial"/>
          <w:sz w:val="20"/>
          <w:szCs w:val="20"/>
          <w:color w:val="auto"/>
        </w:rPr>
        <w:t>Genpact's outlook for the second quarter of 2026 is as follows:</w:t>
      </w:r>
    </w:p>
    <w:p>
      <w:pPr>
        <w:spacing w:after="0" w:line="216" w:lineRule="exact"/>
        <w:rPr>
          <w:sz w:val="20"/>
          <w:szCs w:val="20"/>
          <w:color w:val="auto"/>
        </w:rPr>
      </w:pPr>
    </w:p>
    <w:p>
      <w:pPr>
        <w:ind w:left="660" w:right="20" w:hanging="328"/>
        <w:spacing w:after="0" w:line="269" w:lineRule="auto"/>
        <w:tabs>
          <w:tab w:leader="none" w:pos="621" w:val="left"/>
        </w:tabs>
        <w:numPr>
          <w:ilvl w:val="0"/>
          <w:numId w:val="5"/>
        </w:numPr>
        <w:rPr>
          <w:rFonts w:ascii="Arial" w:cs="Arial" w:eastAsia="Arial" w:hAnsi="Arial"/>
          <w:sz w:val="20"/>
          <w:szCs w:val="20"/>
          <w:color w:val="auto"/>
        </w:rPr>
      </w:pPr>
      <w:r>
        <w:rPr>
          <w:rFonts w:ascii="Arial" w:cs="Arial" w:eastAsia="Arial" w:hAnsi="Arial"/>
          <w:sz w:val="20"/>
          <w:szCs w:val="20"/>
          <w:color w:val="auto"/>
        </w:rPr>
        <w:t>Net revenues in the range of $1.324 billion to $1.336 billion, representing year-over-year growth of approximately 5.5% to 6.5% as reported, or 5.4% to 6.4% on a constant currency basis.</w:t>
      </w:r>
      <w:r>
        <w:rPr>
          <w:rFonts w:ascii="Arial" w:cs="Arial" w:eastAsia="Arial" w:hAnsi="Arial"/>
          <w:sz w:val="25"/>
          <w:szCs w:val="25"/>
          <w:color w:val="auto"/>
          <w:vertAlign w:val="superscript"/>
        </w:rPr>
        <w:t>2</w:t>
      </w:r>
    </w:p>
    <w:p>
      <w:pPr>
        <w:ind w:left="980" w:hanging="324"/>
        <w:spacing w:after="0"/>
        <w:tabs>
          <w:tab w:leader="none" w:pos="980" w:val="left"/>
        </w:tabs>
        <w:numPr>
          <w:ilvl w:val="1"/>
          <w:numId w:val="5"/>
        </w:numPr>
        <w:rPr>
          <w:rFonts w:ascii="Arial" w:cs="Arial" w:eastAsia="Arial" w:hAnsi="Arial"/>
          <w:sz w:val="20"/>
          <w:szCs w:val="20"/>
          <w:color w:val="auto"/>
        </w:rPr>
      </w:pPr>
      <w:r>
        <w:rPr>
          <w:rFonts w:ascii="Arial" w:cs="Arial" w:eastAsia="Arial" w:hAnsi="Arial"/>
          <w:sz w:val="20"/>
          <w:szCs w:val="20"/>
          <w:color w:val="auto"/>
        </w:rPr>
        <w:t>In Advanced Technology Solutions, we expect revenue to grow at least 20%.</w:t>
      </w:r>
    </w:p>
    <w:p>
      <w:pPr>
        <w:spacing w:after="0" w:line="121" w:lineRule="exact"/>
        <w:rPr>
          <w:rFonts w:ascii="Arial" w:cs="Arial" w:eastAsia="Arial" w:hAnsi="Arial"/>
          <w:sz w:val="20"/>
          <w:szCs w:val="20"/>
          <w:color w:val="auto"/>
        </w:rPr>
      </w:pPr>
    </w:p>
    <w:p>
      <w:pPr>
        <w:ind w:left="980" w:hanging="324"/>
        <w:spacing w:after="0"/>
        <w:tabs>
          <w:tab w:leader="none" w:pos="980" w:val="left"/>
        </w:tabs>
        <w:numPr>
          <w:ilvl w:val="1"/>
          <w:numId w:val="5"/>
        </w:numPr>
        <w:rPr>
          <w:rFonts w:ascii="Arial" w:cs="Arial" w:eastAsia="Arial" w:hAnsi="Arial"/>
          <w:sz w:val="20"/>
          <w:szCs w:val="20"/>
          <w:color w:val="auto"/>
        </w:rPr>
      </w:pPr>
      <w:r>
        <w:rPr>
          <w:rFonts w:ascii="Arial" w:cs="Arial" w:eastAsia="Arial" w:hAnsi="Arial"/>
          <w:sz w:val="20"/>
          <w:szCs w:val="20"/>
          <w:color w:val="auto"/>
        </w:rPr>
        <w:t>In Core Business Services, we expect growth to continue.</w:t>
      </w:r>
    </w:p>
    <w:p>
      <w:pPr>
        <w:spacing w:after="0" w:line="107" w:lineRule="exact"/>
        <w:rPr>
          <w:rFonts w:ascii="Arial" w:cs="Arial" w:eastAsia="Arial" w:hAnsi="Arial"/>
          <w:sz w:val="20"/>
          <w:szCs w:val="20"/>
          <w:color w:val="auto"/>
        </w:rPr>
      </w:pPr>
    </w:p>
    <w:p>
      <w:pPr>
        <w:ind w:left="640" w:hanging="308"/>
        <w:spacing w:after="0"/>
        <w:tabs>
          <w:tab w:leader="none" w:pos="640" w:val="left"/>
        </w:tabs>
        <w:numPr>
          <w:ilvl w:val="0"/>
          <w:numId w:val="5"/>
        </w:numPr>
        <w:rPr>
          <w:rFonts w:ascii="Arial" w:cs="Arial" w:eastAsia="Arial" w:hAnsi="Arial"/>
          <w:sz w:val="20"/>
          <w:szCs w:val="20"/>
          <w:color w:val="auto"/>
        </w:rPr>
      </w:pPr>
      <w:r>
        <w:rPr>
          <w:rFonts w:ascii="Arial" w:cs="Arial" w:eastAsia="Arial" w:hAnsi="Arial"/>
          <w:sz w:val="20"/>
          <w:szCs w:val="20"/>
          <w:color w:val="auto"/>
        </w:rPr>
        <w:t>Gross margin of approximately 36.4%.</w:t>
      </w:r>
    </w:p>
    <w:p>
      <w:pPr>
        <w:spacing w:after="0" w:line="121" w:lineRule="exact"/>
        <w:rPr>
          <w:rFonts w:ascii="Arial" w:cs="Arial" w:eastAsia="Arial" w:hAnsi="Arial"/>
          <w:sz w:val="20"/>
          <w:szCs w:val="20"/>
          <w:color w:val="auto"/>
        </w:rPr>
      </w:pPr>
    </w:p>
    <w:p>
      <w:pPr>
        <w:ind w:left="640" w:hanging="308"/>
        <w:spacing w:after="0"/>
        <w:tabs>
          <w:tab w:leader="none" w:pos="640" w:val="left"/>
        </w:tabs>
        <w:numPr>
          <w:ilvl w:val="0"/>
          <w:numId w:val="5"/>
        </w:numPr>
        <w:rPr>
          <w:rFonts w:ascii="Arial" w:cs="Arial" w:eastAsia="Arial" w:hAnsi="Arial"/>
          <w:sz w:val="20"/>
          <w:szCs w:val="20"/>
          <w:color w:val="auto"/>
        </w:rPr>
      </w:pPr>
      <w:r>
        <w:rPr>
          <w:rFonts w:ascii="Arial" w:cs="Arial" w:eastAsia="Arial" w:hAnsi="Arial"/>
          <w:sz w:val="20"/>
          <w:szCs w:val="20"/>
          <w:color w:val="auto"/>
        </w:rPr>
        <w:t>Adjusted income from operations margin</w:t>
      </w:r>
      <w:r>
        <w:rPr>
          <w:rFonts w:ascii="Arial" w:cs="Arial" w:eastAsia="Arial" w:hAnsi="Arial"/>
          <w:sz w:val="25"/>
          <w:szCs w:val="25"/>
          <w:color w:val="auto"/>
          <w:vertAlign w:val="superscript"/>
        </w:rPr>
        <w:t>4</w:t>
      </w:r>
      <w:r>
        <w:rPr>
          <w:rFonts w:ascii="Arial" w:cs="Arial" w:eastAsia="Arial" w:hAnsi="Arial"/>
          <w:sz w:val="20"/>
          <w:szCs w:val="20"/>
          <w:color w:val="auto"/>
        </w:rPr>
        <w:t xml:space="preserve"> of approximately 17.4%.</w:t>
      </w:r>
    </w:p>
    <w:p>
      <w:pPr>
        <w:spacing w:after="0" w:line="56" w:lineRule="exact"/>
        <w:rPr>
          <w:rFonts w:ascii="Arial" w:cs="Arial" w:eastAsia="Arial" w:hAnsi="Arial"/>
          <w:sz w:val="20"/>
          <w:szCs w:val="20"/>
          <w:color w:val="auto"/>
        </w:rPr>
      </w:pPr>
    </w:p>
    <w:p>
      <w:pPr>
        <w:ind w:left="640" w:hanging="308"/>
        <w:spacing w:after="0"/>
        <w:tabs>
          <w:tab w:leader="none" w:pos="640" w:val="left"/>
        </w:tabs>
        <w:numPr>
          <w:ilvl w:val="0"/>
          <w:numId w:val="5"/>
        </w:numPr>
        <w:rPr>
          <w:rFonts w:ascii="Arial" w:cs="Arial" w:eastAsia="Arial" w:hAnsi="Arial"/>
          <w:sz w:val="20"/>
          <w:szCs w:val="20"/>
          <w:color w:val="auto"/>
        </w:rPr>
      </w:pPr>
      <w:r>
        <w:rPr>
          <w:rFonts w:ascii="Arial" w:cs="Arial" w:eastAsia="Arial" w:hAnsi="Arial"/>
          <w:sz w:val="20"/>
          <w:szCs w:val="20"/>
          <w:color w:val="auto"/>
        </w:rPr>
        <w:t>Adjusted diluted earnings per share</w:t>
      </w:r>
      <w:r>
        <w:rPr>
          <w:rFonts w:ascii="Arial" w:cs="Arial" w:eastAsia="Arial" w:hAnsi="Arial"/>
          <w:sz w:val="25"/>
          <w:szCs w:val="25"/>
          <w:color w:val="auto"/>
          <w:vertAlign w:val="superscript"/>
        </w:rPr>
        <w:t>5</w:t>
      </w:r>
      <w:r>
        <w:rPr>
          <w:rFonts w:ascii="Arial" w:cs="Arial" w:eastAsia="Arial" w:hAnsi="Arial"/>
          <w:sz w:val="20"/>
          <w:szCs w:val="20"/>
          <w:color w:val="auto"/>
        </w:rPr>
        <w:t xml:space="preserve"> in the range of $0.96 to $0.97.</w:t>
      </w:r>
    </w:p>
    <w:p>
      <w:pPr>
        <w:spacing w:after="0" w:line="165" w:lineRule="exact"/>
        <w:rPr>
          <w:sz w:val="20"/>
          <w:szCs w:val="20"/>
          <w:color w:val="auto"/>
        </w:rPr>
      </w:pPr>
    </w:p>
    <w:p>
      <w:pPr>
        <w:spacing w:after="0"/>
        <w:rPr>
          <w:sz w:val="20"/>
          <w:szCs w:val="20"/>
          <w:color w:val="auto"/>
        </w:rPr>
      </w:pPr>
      <w:r>
        <w:rPr>
          <w:rFonts w:ascii="Arial" w:cs="Arial" w:eastAsia="Arial" w:hAnsi="Arial"/>
          <w:sz w:val="20"/>
          <w:szCs w:val="20"/>
          <w:color w:val="auto"/>
        </w:rPr>
        <w:t>Genpact's outlook for the full year 2026 is as follows:</w:t>
      </w:r>
    </w:p>
    <w:p>
      <w:pPr>
        <w:spacing w:after="0" w:line="243" w:lineRule="exact"/>
        <w:rPr>
          <w:sz w:val="20"/>
          <w:szCs w:val="20"/>
          <w:color w:val="auto"/>
        </w:rPr>
      </w:pPr>
    </w:p>
    <w:p>
      <w:pPr>
        <w:ind w:left="660" w:hanging="328"/>
        <w:spacing w:after="0"/>
        <w:tabs>
          <w:tab w:leader="none" w:pos="660" w:val="left"/>
        </w:tabs>
        <w:numPr>
          <w:ilvl w:val="0"/>
          <w:numId w:val="6"/>
        </w:numPr>
        <w:rPr>
          <w:rFonts w:ascii="Arial" w:cs="Arial" w:eastAsia="Arial" w:hAnsi="Arial"/>
          <w:sz w:val="22"/>
          <w:szCs w:val="22"/>
          <w:color w:val="auto"/>
        </w:rPr>
      </w:pPr>
      <w:r>
        <w:rPr>
          <w:rFonts w:ascii="Arial" w:cs="Arial" w:eastAsia="Arial" w:hAnsi="Arial"/>
          <w:sz w:val="20"/>
          <w:szCs w:val="20"/>
          <w:color w:val="auto"/>
        </w:rPr>
        <w:t>Net revenue growth of at least 7% on an as reported basis, or 6.8% on a constant currency basis.</w:t>
      </w:r>
      <w:r>
        <w:rPr>
          <w:rFonts w:ascii="Arial" w:cs="Arial" w:eastAsia="Arial" w:hAnsi="Arial"/>
          <w:sz w:val="25"/>
          <w:szCs w:val="25"/>
          <w:color w:val="auto"/>
          <w:vertAlign w:val="superscript"/>
        </w:rPr>
        <w:t>2</w:t>
      </w:r>
    </w:p>
    <w:p>
      <w:pPr>
        <w:spacing w:after="0" w:line="63" w:lineRule="exact"/>
        <w:rPr>
          <w:rFonts w:ascii="Arial" w:cs="Arial" w:eastAsia="Arial" w:hAnsi="Arial"/>
          <w:sz w:val="22"/>
          <w:szCs w:val="22"/>
          <w:color w:val="auto"/>
        </w:rPr>
      </w:pPr>
    </w:p>
    <w:p>
      <w:pPr>
        <w:ind w:left="980" w:hanging="324"/>
        <w:spacing w:after="0"/>
        <w:tabs>
          <w:tab w:leader="none" w:pos="980" w:val="left"/>
        </w:tabs>
        <w:numPr>
          <w:ilvl w:val="1"/>
          <w:numId w:val="6"/>
        </w:numPr>
        <w:rPr>
          <w:rFonts w:ascii="Arial" w:cs="Arial" w:eastAsia="Arial" w:hAnsi="Arial"/>
          <w:sz w:val="20"/>
          <w:szCs w:val="20"/>
          <w:color w:val="auto"/>
        </w:rPr>
      </w:pPr>
      <w:r>
        <w:rPr>
          <w:rFonts w:ascii="Arial" w:cs="Arial" w:eastAsia="Arial" w:hAnsi="Arial"/>
          <w:sz w:val="20"/>
          <w:szCs w:val="20"/>
          <w:color w:val="auto"/>
        </w:rPr>
        <w:t>In Advanced Technology Solutions, we now expect revenue to grow at least 20%.</w:t>
      </w:r>
    </w:p>
    <w:p>
      <w:pPr>
        <w:spacing w:after="0" w:line="121" w:lineRule="exact"/>
        <w:rPr>
          <w:rFonts w:ascii="Arial" w:cs="Arial" w:eastAsia="Arial" w:hAnsi="Arial"/>
          <w:sz w:val="20"/>
          <w:szCs w:val="20"/>
          <w:color w:val="auto"/>
        </w:rPr>
      </w:pPr>
    </w:p>
    <w:p>
      <w:pPr>
        <w:ind w:left="980" w:hanging="324"/>
        <w:spacing w:after="0"/>
        <w:tabs>
          <w:tab w:leader="none" w:pos="980" w:val="left"/>
        </w:tabs>
        <w:numPr>
          <w:ilvl w:val="1"/>
          <w:numId w:val="6"/>
        </w:numPr>
        <w:rPr>
          <w:rFonts w:ascii="Arial" w:cs="Arial" w:eastAsia="Arial" w:hAnsi="Arial"/>
          <w:sz w:val="20"/>
          <w:szCs w:val="20"/>
          <w:color w:val="auto"/>
        </w:rPr>
      </w:pPr>
      <w:r>
        <w:rPr>
          <w:rFonts w:ascii="Arial" w:cs="Arial" w:eastAsia="Arial" w:hAnsi="Arial"/>
          <w:sz w:val="20"/>
          <w:szCs w:val="20"/>
          <w:color w:val="auto"/>
        </w:rPr>
        <w:t>In Core Business Services, we expect growth to continue.</w:t>
      </w:r>
    </w:p>
    <w:p>
      <w:pPr>
        <w:spacing w:after="0" w:line="134" w:lineRule="exact"/>
        <w:rPr>
          <w:rFonts w:ascii="Arial" w:cs="Arial" w:eastAsia="Arial" w:hAnsi="Arial"/>
          <w:sz w:val="20"/>
          <w:szCs w:val="20"/>
          <w:color w:val="auto"/>
        </w:rPr>
      </w:pPr>
    </w:p>
    <w:p>
      <w:pPr>
        <w:ind w:left="660" w:hanging="328"/>
        <w:spacing w:after="0"/>
        <w:tabs>
          <w:tab w:leader="none" w:pos="660" w:val="left"/>
        </w:tabs>
        <w:numPr>
          <w:ilvl w:val="0"/>
          <w:numId w:val="6"/>
        </w:numPr>
        <w:rPr>
          <w:rFonts w:ascii="Arial" w:cs="Arial" w:eastAsia="Arial" w:hAnsi="Arial"/>
          <w:sz w:val="22"/>
          <w:szCs w:val="22"/>
          <w:color w:val="auto"/>
        </w:rPr>
      </w:pPr>
      <w:r>
        <w:rPr>
          <w:rFonts w:ascii="Arial" w:cs="Arial" w:eastAsia="Arial" w:hAnsi="Arial"/>
          <w:sz w:val="20"/>
          <w:szCs w:val="20"/>
          <w:color w:val="auto"/>
        </w:rPr>
        <w:t>Gross margin of approximately 36.5%, up approximately 50 basis points year-over-year.</w:t>
      </w:r>
    </w:p>
    <w:p>
      <w:pPr>
        <w:spacing w:after="0" w:line="125" w:lineRule="exact"/>
        <w:rPr>
          <w:rFonts w:ascii="Arial" w:cs="Arial" w:eastAsia="Arial" w:hAnsi="Arial"/>
          <w:sz w:val="22"/>
          <w:szCs w:val="22"/>
          <w:color w:val="auto"/>
        </w:rPr>
      </w:pPr>
    </w:p>
    <w:p>
      <w:pPr>
        <w:ind w:left="660" w:hanging="328"/>
        <w:spacing w:after="0"/>
        <w:tabs>
          <w:tab w:leader="none" w:pos="660" w:val="left"/>
        </w:tabs>
        <w:numPr>
          <w:ilvl w:val="0"/>
          <w:numId w:val="6"/>
        </w:numPr>
        <w:rPr>
          <w:rFonts w:ascii="Arial" w:cs="Arial" w:eastAsia="Arial" w:hAnsi="Arial"/>
          <w:sz w:val="22"/>
          <w:szCs w:val="22"/>
          <w:color w:val="auto"/>
        </w:rPr>
      </w:pPr>
      <w:r>
        <w:rPr>
          <w:rFonts w:ascii="Arial" w:cs="Arial" w:eastAsia="Arial" w:hAnsi="Arial"/>
          <w:sz w:val="20"/>
          <w:szCs w:val="20"/>
          <w:color w:val="auto"/>
        </w:rPr>
        <w:t>Adjusted income from operations margin</w:t>
      </w:r>
      <w:r>
        <w:rPr>
          <w:rFonts w:ascii="Arial" w:cs="Arial" w:eastAsia="Arial" w:hAnsi="Arial"/>
          <w:sz w:val="25"/>
          <w:szCs w:val="25"/>
          <w:color w:val="auto"/>
          <w:vertAlign w:val="superscript"/>
        </w:rPr>
        <w:t>4</w:t>
      </w:r>
      <w:r>
        <w:rPr>
          <w:rFonts w:ascii="Arial" w:cs="Arial" w:eastAsia="Arial" w:hAnsi="Arial"/>
          <w:sz w:val="20"/>
          <w:szCs w:val="20"/>
          <w:color w:val="auto"/>
        </w:rPr>
        <w:t xml:space="preserve"> of approximately 17.7%, up approximately 25 basis points year-over-year.</w:t>
      </w:r>
    </w:p>
    <w:p>
      <w:pPr>
        <w:spacing w:after="0" w:line="77" w:lineRule="exact"/>
        <w:rPr>
          <w:rFonts w:ascii="Arial" w:cs="Arial" w:eastAsia="Arial" w:hAnsi="Arial"/>
          <w:sz w:val="22"/>
          <w:szCs w:val="22"/>
          <w:color w:val="auto"/>
        </w:rPr>
      </w:pPr>
    </w:p>
    <w:p>
      <w:pPr>
        <w:ind w:left="660" w:hanging="328"/>
        <w:spacing w:after="0"/>
        <w:tabs>
          <w:tab w:leader="none" w:pos="660" w:val="left"/>
        </w:tabs>
        <w:numPr>
          <w:ilvl w:val="0"/>
          <w:numId w:val="6"/>
        </w:numPr>
        <w:rPr>
          <w:rFonts w:ascii="Arial" w:cs="Arial" w:eastAsia="Arial" w:hAnsi="Arial"/>
          <w:sz w:val="22"/>
          <w:szCs w:val="22"/>
          <w:color w:val="auto"/>
        </w:rPr>
      </w:pPr>
      <w:r>
        <w:rPr>
          <w:rFonts w:ascii="Arial" w:cs="Arial" w:eastAsia="Arial" w:hAnsi="Arial"/>
          <w:sz w:val="20"/>
          <w:szCs w:val="20"/>
          <w:color w:val="auto"/>
        </w:rPr>
        <w:t>Adjusted diluted earnings per share</w:t>
      </w:r>
      <w:r>
        <w:rPr>
          <w:rFonts w:ascii="Arial" w:cs="Arial" w:eastAsia="Arial" w:hAnsi="Arial"/>
          <w:sz w:val="25"/>
          <w:szCs w:val="25"/>
          <w:color w:val="auto"/>
          <w:vertAlign w:val="superscript"/>
        </w:rPr>
        <w:t>5</w:t>
      </w:r>
      <w:r>
        <w:rPr>
          <w:rFonts w:ascii="Arial" w:cs="Arial" w:eastAsia="Arial" w:hAnsi="Arial"/>
          <w:sz w:val="20"/>
          <w:szCs w:val="20"/>
          <w:color w:val="auto"/>
        </w:rPr>
        <w:t xml:space="preserve"> growth of more than 10%.</w:t>
      </w:r>
    </w:p>
    <w:p>
      <w:pPr>
        <w:spacing w:after="0" w:line="305"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2F2F2F"/>
        </w:rPr>
        <w:t>First Quarter 2026 Earnings Call</w:t>
      </w:r>
    </w:p>
    <w:p>
      <w:pPr>
        <w:spacing w:after="0" w:line="258" w:lineRule="exact"/>
        <w:rPr>
          <w:sz w:val="20"/>
          <w:szCs w:val="20"/>
          <w:color w:val="auto"/>
        </w:rPr>
      </w:pPr>
    </w:p>
    <w:p>
      <w:pPr>
        <w:spacing w:after="0" w:line="237" w:lineRule="auto"/>
        <w:rPr>
          <w:sz w:val="20"/>
          <w:szCs w:val="20"/>
          <w:color w:val="auto"/>
        </w:rPr>
      </w:pPr>
      <w:r>
        <w:rPr>
          <w:rFonts w:ascii="Arial" w:cs="Arial" w:eastAsia="Arial" w:hAnsi="Arial"/>
          <w:sz w:val="20"/>
          <w:szCs w:val="20"/>
          <w:color w:val="auto"/>
        </w:rPr>
        <w:t xml:space="preserve">Genpact's management will host a conference call on May 7, 2026, at 5:00PM ET to discuss the company's performance for the first quarter ended March 31, 2026. Participants are encouraged to </w:t>
      </w:r>
      <w:r>
        <w:rPr>
          <w:rFonts w:ascii="Arial" w:cs="Arial" w:eastAsia="Arial" w:hAnsi="Arial"/>
          <w:sz w:val="20"/>
          <w:szCs w:val="20"/>
          <w:u w:val="single" w:color="auto"/>
          <w:color w:val="auto"/>
        </w:rPr>
        <w:t>register here</w:t>
      </w:r>
      <w:r>
        <w:rPr>
          <w:rFonts w:ascii="Arial" w:cs="Arial" w:eastAsia="Arial" w:hAnsi="Arial"/>
          <w:sz w:val="20"/>
          <w:szCs w:val="20"/>
          <w:color w:val="auto"/>
        </w:rPr>
        <w:t xml:space="preserve"> to receive a dial-in number and unique PIN for seamless access. It is recommended to join 10 minutes before the call starts, although registration and dial-in will be available at any time. A live webcast will be available on the Genpact Investor Relations website. For those unable to attend the live call, an archived replay and transcript will be available on the website shortly after the call.</w:t>
      </w:r>
    </w:p>
    <w:p>
      <w:pPr>
        <w:spacing w:after="0" w:line="320" w:lineRule="exact"/>
        <w:rPr>
          <w:sz w:val="20"/>
          <w:szCs w:val="20"/>
          <w:color w:val="auto"/>
        </w:rPr>
      </w:pPr>
    </w:p>
    <w:p>
      <w:pPr>
        <w:spacing w:after="0"/>
        <w:rPr>
          <w:sz w:val="20"/>
          <w:szCs w:val="20"/>
          <w:color w:val="auto"/>
        </w:rPr>
      </w:pPr>
      <w:r>
        <w:rPr>
          <w:rFonts w:ascii="Arial" w:cs="Arial" w:eastAsia="Arial" w:hAnsi="Arial"/>
          <w:sz w:val="20"/>
          <w:szCs w:val="20"/>
          <w:b w:val="1"/>
          <w:bCs w:val="1"/>
          <w:color w:val="2F2F2F"/>
        </w:rPr>
        <w:t>About Genpact</w:t>
      </w:r>
    </w:p>
    <w:p>
      <w:pPr>
        <w:spacing w:after="0" w:line="6" w:lineRule="exact"/>
        <w:rPr>
          <w:sz w:val="20"/>
          <w:szCs w:val="20"/>
          <w:color w:val="auto"/>
        </w:rPr>
      </w:pPr>
    </w:p>
    <w:p>
      <w:pPr>
        <w:ind w:right="20"/>
        <w:spacing w:after="0" w:line="236" w:lineRule="auto"/>
        <w:rPr>
          <w:sz w:val="20"/>
          <w:szCs w:val="20"/>
          <w:color w:val="auto"/>
        </w:rPr>
      </w:pPr>
      <w:r>
        <w:rPr>
          <w:rFonts w:ascii="Arial" w:cs="Arial" w:eastAsia="Arial" w:hAnsi="Arial"/>
          <w:sz w:val="20"/>
          <w:szCs w:val="20"/>
          <w:color w:val="auto"/>
        </w:rPr>
        <w:t>Genpact (NYSE: G) is an agentic and advanced technology solutions company. We leverage process intelligence and artificial intelligence to deliver measurable outcomes. With a strong partner ecosystem and decades of client trust, we provide innovative solutions that transform how businesses run. Powered by a team with an active learning mindset and client centricity at its core, we deliver lasting value for the world’s leading enterprises.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17145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28" w:lineRule="exact"/>
        <w:rPr>
          <w:sz w:val="20"/>
          <w:szCs w:val="20"/>
          <w:color w:val="auto"/>
        </w:rPr>
      </w:pPr>
    </w:p>
    <w:p>
      <w:pPr>
        <w:ind w:right="380"/>
        <w:spacing w:after="0" w:line="225" w:lineRule="auto"/>
        <w:rPr>
          <w:sz w:val="20"/>
          <w:szCs w:val="20"/>
          <w:color w:val="auto"/>
        </w:rPr>
      </w:pPr>
      <w:r>
        <w:rPr>
          <w:rFonts w:ascii="Arial" w:cs="Arial" w:eastAsia="Arial" w:hAnsi="Arial"/>
          <w:sz w:val="18"/>
          <w:szCs w:val="18"/>
          <w:color w:val="auto"/>
          <w:vertAlign w:val="superscript"/>
        </w:rPr>
        <w:t>4</w:t>
      </w:r>
      <w:r>
        <w:rPr>
          <w:rFonts w:ascii="Arial" w:cs="Arial" w:eastAsia="Arial" w:hAnsi="Arial"/>
          <w:sz w:val="14"/>
          <w:szCs w:val="14"/>
          <w:color w:val="auto"/>
        </w:rPr>
        <w:t>Adjusted income from operations margin is a non-GAAP measure. A reconciliation of the outlook for each of GAAP net income margin and GAAP income from operations margin to adjusted income from operations margin is attached to this release.</w:t>
      </w:r>
    </w:p>
    <w:p>
      <w:pPr>
        <w:spacing w:after="0" w:line="1" w:lineRule="exact"/>
        <w:rPr>
          <w:sz w:val="20"/>
          <w:szCs w:val="20"/>
          <w:color w:val="auto"/>
        </w:rPr>
      </w:pPr>
    </w:p>
    <w:p>
      <w:pPr>
        <w:ind w:right="400"/>
        <w:spacing w:after="0" w:line="234" w:lineRule="auto"/>
        <w:rPr>
          <w:sz w:val="20"/>
          <w:szCs w:val="20"/>
          <w:color w:val="auto"/>
        </w:rPr>
      </w:pPr>
      <w:r>
        <w:rPr>
          <w:rFonts w:ascii="Arial" w:cs="Arial" w:eastAsia="Arial" w:hAnsi="Arial"/>
          <w:sz w:val="18"/>
          <w:szCs w:val="18"/>
          <w:color w:val="auto"/>
          <w:vertAlign w:val="superscript"/>
        </w:rPr>
        <w:t>5</w:t>
      </w:r>
      <w:r>
        <w:rPr>
          <w:rFonts w:ascii="Arial" w:cs="Arial" w:eastAsia="Arial" w:hAnsi="Arial"/>
          <w:sz w:val="14"/>
          <w:szCs w:val="14"/>
          <w:color w:val="auto"/>
        </w:rPr>
        <w:t>Adjusted diluted earnings per share is a non-GAAP measure. A reconciliation of the outlook for GAAP diluted earnings per share to adjusted diluted earnings per share is attached to this release.</w:t>
      </w:r>
    </w:p>
    <w:p>
      <w:pPr>
        <w:sectPr>
          <w:pgSz w:w="11900" w:h="16838" w:orient="portrait"/>
          <w:cols w:equalWidth="0" w:num="1">
            <w:col w:w="11220"/>
          </w:cols>
          <w:pgMar w:left="320" w:top="901" w:right="359" w:bottom="1440" w:gutter="0" w:footer="0" w:header="0"/>
        </w:sectPr>
      </w:pPr>
    </w:p>
    <w:bookmarkStart w:id="5" w:name="page6"/>
    <w:bookmarkEnd w:id="5"/>
    <w:p>
      <w:pPr>
        <w:spacing w:after="0" w:line="16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Safe Harbor</w:t>
      </w:r>
    </w:p>
    <w:p>
      <w:pPr>
        <w:spacing w:after="0" w:line="6" w:lineRule="exact"/>
        <w:rPr>
          <w:sz w:val="20"/>
          <w:szCs w:val="20"/>
          <w:color w:val="auto"/>
        </w:rPr>
      </w:pPr>
    </w:p>
    <w:p>
      <w:pPr>
        <w:spacing w:after="0" w:line="238" w:lineRule="auto"/>
        <w:rPr>
          <w:sz w:val="20"/>
          <w:szCs w:val="20"/>
          <w:color w:val="auto"/>
        </w:rPr>
      </w:pPr>
      <w:r>
        <w:rPr>
          <w:rFonts w:ascii="Arial" w:cs="Arial" w:eastAsia="Arial" w:hAnsi="Arial"/>
          <w:sz w:val="20"/>
          <w:szCs w:val="20"/>
          <w:color w:val="auto"/>
        </w:rPr>
        <w:t>This press release contains certain statements concerning our future growth prospects, including our outlook for 2026, financial results and other forward-looking statements, as defined in the safe harbor provisions of the U.S. Private Securities Litigation Reform Act of 1995. These statements involve a number of risks, uncertainties and other factors that could cause actual results to differ materially from those in such forward-looking statements. These risks, uncertainties, and other factors include but are not limited to macroeconomic uncertainty, U.S. and global trade and tariff policies and general economic conditions, any deterioration in the global economic environment and its impact on our clients, our ability to develop and successfully execute our business strategies, technological innovation, including AI technology and future uses of agentic AI, generative AI and large language models, and our ability to invest in new technologies and adapt to industry developments and client needs at sufficient speed and scale, our ability to effectively price our services and maintain pricing and employee utilization rates, general inflationary pressures and our ability to share increased costs with our clients, wage increases in locations in which we have operations, our ability to attract and retain skilled professionals, our ability to protect our and our clients' data from security incidents or cyberattacks, political, economic or business conditions in countries in which we operate, the economic and other impacts of geopolitical conflicts and any related sanctions and other measures that have been or may be implemented or imposed in response thereto, as well as any potential expansion or escalation of existing conflicts or economic disruption beyond their current scope, a slowdown in the geographic regions or sectors in which we or our clients operate, the risks and uncertainties arising from our past and future acquisitions or divestitures, our ability to convert bookings to revenues, our ability to manage growth, factors which may impact our cost advantage, changes in tax rates and tax legislation, tax audits, investigations and tax proceedings, changes in the interpretation or enforcement of tax laws and other laws and regulations, our ability to effectively execute our tax planning strategies, highly competitive markets and any inability to compete effectively, claims and lawsuits, including by clients, employees or other third parties, risks and uncertainties regarding fluctuations in our earnings, foreign currency fluctuations, as well as other risks detailed in our reports filed with the U.S. Securities and Exchange Commission, including Genpact's Annual Report on Form 10-K and Quarterly Reports on Form 10-Q. These filings are available at www.sec.gov. Genpact may from time to time make additional written and oral forward-looking statements, including statements contained in our filings with the Securities and Exchange Commission and our reports to shareholders. Although Genpact believes that these forward-looking statements are based on reasonable assumptions, you are cautioned not to put undue reliance on these forward-looking statements, which reflect management's current analysis of future events and should not be relied upon as representing management's expectations or beliefs as of any date subsequent to the time they are made. Genpact undertakes no obligation to update any forward-looking statements that may be made from time to time by or on behalf of Genpact.</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0" w:type="dxa"/>
            <w:vAlign w:val="bottom"/>
            <w:tcBorders>
              <w:bottom w:val="single" w:sz="8" w:color="auto"/>
            </w:tcBorders>
          </w:tcPr>
          <w:p>
            <w:pPr>
              <w:spacing w:after="0"/>
              <w:rPr>
                <w:sz w:val="20"/>
                <w:szCs w:val="20"/>
                <w:color w:val="auto"/>
              </w:rPr>
            </w:pPr>
            <w:r>
              <w:rPr>
                <w:rFonts w:ascii="Arial" w:cs="Arial" w:eastAsia="Arial" w:hAnsi="Arial"/>
                <w:sz w:val="20"/>
                <w:szCs w:val="20"/>
                <w:b w:val="1"/>
                <w:bCs w:val="1"/>
                <w:color w:val="auto"/>
                <w:w w:val="98"/>
              </w:rPr>
              <w:t>Contacts</w:t>
            </w:r>
          </w:p>
        </w:tc>
        <w:tc>
          <w:tcPr>
            <w:tcW w:w="1220" w:type="dxa"/>
            <w:vAlign w:val="bottom"/>
          </w:tcPr>
          <w:p>
            <w:pPr>
              <w:spacing w:after="0"/>
              <w:rPr>
                <w:sz w:val="19"/>
                <w:szCs w:val="19"/>
                <w:color w:val="auto"/>
              </w:rPr>
            </w:pPr>
          </w:p>
        </w:tc>
        <w:tc>
          <w:tcPr>
            <w:tcW w:w="4140" w:type="dxa"/>
            <w:vAlign w:val="bottom"/>
          </w:tcPr>
          <w:p>
            <w:pPr>
              <w:spacing w:after="0"/>
              <w:rPr>
                <w:sz w:val="19"/>
                <w:szCs w:val="19"/>
                <w:color w:val="auto"/>
              </w:rPr>
            </w:pPr>
          </w:p>
        </w:tc>
      </w:tr>
      <w:tr>
        <w:trPr>
          <w:trHeight w:val="544"/>
        </w:trPr>
        <w:tc>
          <w:tcPr>
            <w:tcW w:w="2080" w:type="dxa"/>
            <w:vAlign w:val="bottom"/>
            <w:gridSpan w:val="2"/>
          </w:tcPr>
          <w:p>
            <w:pPr>
              <w:ind w:left="20"/>
              <w:spacing w:after="0"/>
              <w:rPr>
                <w:sz w:val="20"/>
                <w:szCs w:val="20"/>
                <w:color w:val="auto"/>
              </w:rPr>
            </w:pPr>
            <w:r>
              <w:rPr>
                <w:rFonts w:ascii="Arial" w:cs="Arial" w:eastAsia="Arial" w:hAnsi="Arial"/>
                <w:sz w:val="20"/>
                <w:szCs w:val="20"/>
                <w:color w:val="auto"/>
              </w:rPr>
              <w:t>Investors</w:t>
            </w:r>
          </w:p>
        </w:tc>
        <w:tc>
          <w:tcPr>
            <w:tcW w:w="4140" w:type="dxa"/>
            <w:vAlign w:val="bottom"/>
          </w:tcPr>
          <w:p>
            <w:pPr>
              <w:ind w:left="1220"/>
              <w:spacing w:after="0"/>
              <w:rPr>
                <w:sz w:val="20"/>
                <w:szCs w:val="20"/>
                <w:color w:val="auto"/>
              </w:rPr>
            </w:pPr>
            <w:r>
              <w:rPr>
                <w:rFonts w:ascii="Arial" w:cs="Arial" w:eastAsia="Arial" w:hAnsi="Arial"/>
                <w:sz w:val="20"/>
                <w:szCs w:val="20"/>
                <w:color w:val="auto"/>
                <w:w w:val="98"/>
              </w:rPr>
              <w:t>Investor.Relations@genpact.com</w:t>
            </w:r>
          </w:p>
        </w:tc>
      </w:tr>
      <w:tr>
        <w:trPr>
          <w:trHeight w:val="594"/>
        </w:trPr>
        <w:tc>
          <w:tcPr>
            <w:tcW w:w="2080" w:type="dxa"/>
            <w:vAlign w:val="bottom"/>
            <w:gridSpan w:val="2"/>
          </w:tcPr>
          <w:p>
            <w:pPr>
              <w:ind w:left="20"/>
              <w:spacing w:after="0"/>
              <w:rPr>
                <w:sz w:val="20"/>
                <w:szCs w:val="20"/>
                <w:color w:val="auto"/>
              </w:rPr>
            </w:pPr>
            <w:r>
              <w:rPr>
                <w:rFonts w:ascii="Arial" w:cs="Arial" w:eastAsia="Arial" w:hAnsi="Arial"/>
                <w:sz w:val="20"/>
                <w:szCs w:val="20"/>
                <w:color w:val="auto"/>
              </w:rPr>
              <w:t>Media</w:t>
            </w:r>
          </w:p>
        </w:tc>
        <w:tc>
          <w:tcPr>
            <w:tcW w:w="4140" w:type="dxa"/>
            <w:vAlign w:val="bottom"/>
          </w:tcPr>
          <w:p>
            <w:pPr>
              <w:ind w:left="1220"/>
              <w:spacing w:after="0"/>
              <w:rPr>
                <w:sz w:val="20"/>
                <w:szCs w:val="20"/>
                <w:color w:val="auto"/>
              </w:rPr>
            </w:pPr>
            <w:r>
              <w:rPr>
                <w:rFonts w:ascii="Arial" w:cs="Arial" w:eastAsia="Arial" w:hAnsi="Arial"/>
                <w:sz w:val="20"/>
                <w:szCs w:val="20"/>
                <w:color w:val="auto"/>
              </w:rPr>
              <w:t>PublicRelations@genpact.com</w:t>
            </w:r>
          </w:p>
        </w:tc>
      </w:tr>
    </w:tbl>
    <w:p>
      <w:pPr>
        <w:sectPr>
          <w:pgSz w:w="11900" w:h="16838" w:orient="portrait"/>
          <w:cols w:equalWidth="0" w:num="1">
            <w:col w:w="11200"/>
          </w:cols>
          <w:pgMar w:left="320" w:top="1440" w:right="379" w:bottom="1440" w:gutter="0" w:footer="0" w:header="0"/>
        </w:sectPr>
      </w:pPr>
    </w:p>
    <w:bookmarkStart w:id="6" w:name="page7"/>
    <w:bookmarkEnd w:id="6"/>
    <w:p>
      <w:pPr>
        <w:jc w:val="center"/>
        <w:spacing w:after="0"/>
        <w:rPr>
          <w:sz w:val="20"/>
          <w:szCs w:val="20"/>
          <w:color w:val="auto"/>
        </w:rPr>
      </w:pPr>
      <w:r>
        <w:rPr>
          <w:rFonts w:ascii="Arial" w:cs="Arial" w:eastAsia="Arial" w:hAnsi="Arial"/>
          <w:sz w:val="20"/>
          <w:szCs w:val="20"/>
          <w:b w:val="1"/>
          <w:bCs w:val="1"/>
          <w:color w:val="auto"/>
        </w:rPr>
        <w:t>GENPACT LIMITED AND ITS SUBSIDIARIES</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 and share count)</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60" w:type="dxa"/>
            <w:vAlign w:val="bottom"/>
            <w:gridSpan w:val="2"/>
          </w:tcPr>
          <w:p>
            <w:pPr>
              <w:ind w:left="60"/>
              <w:spacing w:after="0"/>
              <w:rPr>
                <w:sz w:val="20"/>
                <w:szCs w:val="20"/>
                <w:color w:val="auto"/>
              </w:rPr>
            </w:pPr>
            <w:r>
              <w:rPr>
                <w:rFonts w:ascii="Arial" w:cs="Arial" w:eastAsia="Arial" w:hAnsi="Arial"/>
                <w:sz w:val="18"/>
                <w:szCs w:val="18"/>
                <w:b w:val="1"/>
                <w:bCs w:val="1"/>
                <w:color w:val="auto"/>
              </w:rPr>
              <w:t>As of December 31,</w:t>
            </w:r>
          </w:p>
        </w:tc>
        <w:tc>
          <w:tcPr>
            <w:tcW w:w="140" w:type="dxa"/>
            <w:vAlign w:val="bottom"/>
          </w:tcPr>
          <w:p>
            <w:pPr>
              <w:spacing w:after="0"/>
              <w:rPr>
                <w:sz w:val="18"/>
                <w:szCs w:val="18"/>
                <w:color w:val="auto"/>
              </w:rPr>
            </w:pPr>
          </w:p>
        </w:tc>
        <w:tc>
          <w:tcPr>
            <w:tcW w:w="1920" w:type="dxa"/>
            <w:vAlign w:val="bottom"/>
          </w:tcPr>
          <w:p>
            <w:pPr>
              <w:jc w:val="right"/>
              <w:ind w:right="50"/>
              <w:spacing w:after="0"/>
              <w:rPr>
                <w:sz w:val="20"/>
                <w:szCs w:val="20"/>
                <w:color w:val="auto"/>
              </w:rPr>
            </w:pPr>
            <w:r>
              <w:rPr>
                <w:rFonts w:ascii="Arial" w:cs="Arial" w:eastAsia="Arial" w:hAnsi="Arial"/>
                <w:sz w:val="18"/>
                <w:szCs w:val="18"/>
                <w:b w:val="1"/>
                <w:bCs w:val="1"/>
                <w:color w:val="auto"/>
                <w:w w:val="98"/>
              </w:rPr>
              <w:t>As of March 31, 2026</w:t>
            </w:r>
          </w:p>
        </w:tc>
      </w:tr>
      <w:tr>
        <w:trPr>
          <w:trHeight w:val="255"/>
        </w:trPr>
        <w:tc>
          <w:tcPr>
            <w:tcW w:w="6940" w:type="dxa"/>
            <w:vAlign w:val="bottom"/>
            <w:tcBorders>
              <w:bottom w:val="single" w:sz="8" w:color="F6F6F6"/>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960" w:type="dxa"/>
            <w:vAlign w:val="bottom"/>
            <w:tcBorders>
              <w:bottom w:val="single" w:sz="8" w:color="auto"/>
            </w:tcBorders>
          </w:tcPr>
          <w:p>
            <w:pPr>
              <w:jc w:val="right"/>
              <w:ind w:right="790"/>
              <w:spacing w:after="0"/>
              <w:rPr>
                <w:sz w:val="20"/>
                <w:szCs w:val="20"/>
                <w:color w:val="auto"/>
              </w:rPr>
            </w:pPr>
            <w:r>
              <w:rPr>
                <w:rFonts w:ascii="Arial" w:cs="Arial" w:eastAsia="Arial" w:hAnsi="Arial"/>
                <w:sz w:val="18"/>
                <w:szCs w:val="18"/>
                <w:b w:val="1"/>
                <w:bCs w:val="1"/>
                <w:color w:val="auto"/>
              </w:rPr>
              <w:t>2025</w:t>
            </w:r>
          </w:p>
        </w:tc>
        <w:tc>
          <w:tcPr>
            <w:tcW w:w="100" w:type="dxa"/>
            <w:vAlign w:val="bottom"/>
            <w:tcBorders>
              <w:bottom w:val="single" w:sz="8" w:color="F6F6F6"/>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920" w:type="dxa"/>
            <w:vAlign w:val="bottom"/>
            <w:tcBorders>
              <w:bottom w:val="single" w:sz="8" w:color="auto"/>
            </w:tcBorders>
          </w:tcPr>
          <w:p>
            <w:pPr>
              <w:spacing w:after="0"/>
              <w:rPr>
                <w:sz w:val="22"/>
                <w:szCs w:val="22"/>
                <w:color w:val="auto"/>
              </w:rPr>
            </w:pPr>
          </w:p>
        </w:tc>
      </w:tr>
      <w:tr>
        <w:trPr>
          <w:trHeight w:val="256"/>
        </w:trPr>
        <w:tc>
          <w:tcPr>
            <w:tcW w:w="6940" w:type="dxa"/>
            <w:vAlign w:val="bottom"/>
            <w:shd w:val="clear" w:color="auto" w:fill="F6F6F6"/>
          </w:tcPr>
          <w:p>
            <w:pPr>
              <w:ind w:left="20"/>
              <w:spacing w:after="0"/>
              <w:rPr>
                <w:sz w:val="20"/>
                <w:szCs w:val="20"/>
                <w:color w:val="auto"/>
              </w:rPr>
            </w:pPr>
            <w:r>
              <w:rPr>
                <w:rFonts w:ascii="Arial" w:cs="Arial" w:eastAsia="Arial" w:hAnsi="Arial"/>
                <w:sz w:val="18"/>
                <w:szCs w:val="18"/>
                <w:b w:val="1"/>
                <w:bCs w:val="1"/>
                <w:color w:val="auto"/>
              </w:rPr>
              <w:t>Assets</w:t>
            </w:r>
          </w:p>
        </w:tc>
        <w:tc>
          <w:tcPr>
            <w:tcW w:w="180" w:type="dxa"/>
            <w:vAlign w:val="bottom"/>
            <w:shd w:val="clear" w:color="auto" w:fill="F6F6F6"/>
          </w:tcPr>
          <w:p>
            <w:pPr>
              <w:spacing w:after="0"/>
              <w:rPr>
                <w:sz w:val="22"/>
                <w:szCs w:val="22"/>
                <w:color w:val="auto"/>
              </w:rPr>
            </w:pPr>
          </w:p>
        </w:tc>
        <w:tc>
          <w:tcPr>
            <w:tcW w:w="1960" w:type="dxa"/>
            <w:vAlign w:val="bottom"/>
            <w:shd w:val="clear" w:color="auto" w:fill="F6F6F6"/>
          </w:tcPr>
          <w:p>
            <w:pPr>
              <w:spacing w:after="0"/>
              <w:rPr>
                <w:sz w:val="22"/>
                <w:szCs w:val="22"/>
                <w:color w:val="auto"/>
              </w:rPr>
            </w:pPr>
          </w:p>
        </w:tc>
        <w:tc>
          <w:tcPr>
            <w:tcW w:w="100" w:type="dxa"/>
            <w:vAlign w:val="bottom"/>
            <w:shd w:val="clear" w:color="auto" w:fill="F6F6F6"/>
          </w:tcPr>
          <w:p>
            <w:pPr>
              <w:spacing w:after="0"/>
              <w:rPr>
                <w:sz w:val="22"/>
                <w:szCs w:val="22"/>
                <w:color w:val="auto"/>
              </w:rPr>
            </w:pPr>
          </w:p>
        </w:tc>
        <w:tc>
          <w:tcPr>
            <w:tcW w:w="140" w:type="dxa"/>
            <w:vAlign w:val="bottom"/>
            <w:shd w:val="clear" w:color="auto" w:fill="F6F6F6"/>
          </w:tcPr>
          <w:p>
            <w:pPr>
              <w:spacing w:after="0"/>
              <w:rPr>
                <w:sz w:val="22"/>
                <w:szCs w:val="22"/>
                <w:color w:val="auto"/>
              </w:rPr>
            </w:pPr>
          </w:p>
        </w:tc>
        <w:tc>
          <w:tcPr>
            <w:tcW w:w="1920" w:type="dxa"/>
            <w:vAlign w:val="bottom"/>
            <w:shd w:val="clear" w:color="auto" w:fill="F6F6F6"/>
          </w:tcPr>
          <w:p>
            <w:pPr>
              <w:spacing w:after="0"/>
              <w:rPr>
                <w:sz w:val="22"/>
                <w:szCs w:val="22"/>
                <w:color w:val="auto"/>
              </w:rPr>
            </w:pPr>
          </w:p>
        </w:tc>
      </w:tr>
      <w:tr>
        <w:trPr>
          <w:trHeight w:val="247"/>
        </w:trPr>
        <w:tc>
          <w:tcPr>
            <w:tcW w:w="6940" w:type="dxa"/>
            <w:vAlign w:val="bottom"/>
          </w:tcPr>
          <w:p>
            <w:pPr>
              <w:ind w:left="20"/>
              <w:spacing w:after="0"/>
              <w:rPr>
                <w:sz w:val="20"/>
                <w:szCs w:val="20"/>
                <w:color w:val="auto"/>
              </w:rPr>
            </w:pPr>
            <w:r>
              <w:rPr>
                <w:rFonts w:ascii="Arial" w:cs="Arial" w:eastAsia="Arial" w:hAnsi="Arial"/>
                <w:sz w:val="18"/>
                <w:szCs w:val="18"/>
                <w:i w:val="1"/>
                <w:iCs w:val="1"/>
                <w:color w:val="auto"/>
              </w:rPr>
              <w:t>Current assets</w:t>
            </w:r>
          </w:p>
        </w:tc>
        <w:tc>
          <w:tcPr>
            <w:tcW w:w="18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920" w:type="dxa"/>
            <w:vAlign w:val="bottom"/>
          </w:tcPr>
          <w:p>
            <w:pPr>
              <w:spacing w:after="0"/>
              <w:rPr>
                <w:sz w:val="21"/>
                <w:szCs w:val="21"/>
                <w:color w:val="auto"/>
              </w:rPr>
            </w:pPr>
          </w:p>
        </w:tc>
      </w:tr>
      <w:tr>
        <w:trPr>
          <w:trHeight w:val="23"/>
        </w:trPr>
        <w:tc>
          <w:tcPr>
            <w:tcW w:w="6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6940" w:type="dxa"/>
            <w:vAlign w:val="bottom"/>
            <w:tcBorders>
              <w:bottom w:val="single" w:sz="8" w:color="F6F6F6"/>
            </w:tcBorders>
            <w:shd w:val="clear" w:color="auto" w:fill="F6F6F6"/>
          </w:tcPr>
          <w:p>
            <w:pPr>
              <w:ind w:left="520"/>
              <w:spacing w:after="0"/>
              <w:rPr>
                <w:sz w:val="20"/>
                <w:szCs w:val="20"/>
                <w:color w:val="auto"/>
              </w:rPr>
            </w:pPr>
            <w:r>
              <w:rPr>
                <w:rFonts w:ascii="Arial" w:cs="Arial" w:eastAsia="Arial" w:hAnsi="Arial"/>
                <w:sz w:val="18"/>
                <w:szCs w:val="18"/>
                <w:color w:val="auto"/>
              </w:rPr>
              <w:t>Cash and cash equivalents</w:t>
            </w:r>
          </w:p>
        </w:tc>
        <w:tc>
          <w:tcPr>
            <w:tcW w:w="180" w:type="dxa"/>
            <w:vAlign w:val="bottom"/>
            <w:tcBorders>
              <w:bottom w:val="single" w:sz="8" w:color="F6F6F6"/>
            </w:tcBorders>
            <w:shd w:val="clear" w:color="auto" w:fill="F6F6F6"/>
          </w:tcPr>
          <w:p>
            <w:pPr>
              <w:jc w:val="right"/>
              <w:spacing w:after="0"/>
              <w:rPr>
                <w:sz w:val="20"/>
                <w:szCs w:val="20"/>
                <w:color w:val="auto"/>
              </w:rPr>
            </w:pPr>
            <w:r>
              <w:rPr>
                <w:rFonts w:ascii="Arial" w:cs="Arial" w:eastAsia="Arial" w:hAnsi="Arial"/>
                <w:sz w:val="18"/>
                <w:szCs w:val="18"/>
                <w:color w:val="auto"/>
                <w:w w:val="99"/>
              </w:rPr>
              <w:t>$</w:t>
            </w:r>
          </w:p>
        </w:tc>
        <w:tc>
          <w:tcPr>
            <w:tcW w:w="1960" w:type="dxa"/>
            <w:vAlign w:val="bottom"/>
            <w:tcBorders>
              <w:bottom w:val="single" w:sz="8" w:color="F6F6F6"/>
            </w:tcBorders>
            <w:shd w:val="clear" w:color="auto" w:fill="F6F6F6"/>
          </w:tcPr>
          <w:p>
            <w:pPr>
              <w:jc w:val="right"/>
              <w:spacing w:after="0"/>
              <w:rPr>
                <w:sz w:val="20"/>
                <w:szCs w:val="20"/>
                <w:color w:val="auto"/>
              </w:rPr>
            </w:pPr>
            <w:r>
              <w:rPr>
                <w:rFonts w:ascii="Arial" w:cs="Arial" w:eastAsia="Arial" w:hAnsi="Arial"/>
                <w:sz w:val="18"/>
                <w:szCs w:val="18"/>
                <w:color w:val="auto"/>
              </w:rPr>
              <w:t>853,836</w:t>
            </w:r>
          </w:p>
        </w:tc>
        <w:tc>
          <w:tcPr>
            <w:tcW w:w="100" w:type="dxa"/>
            <w:vAlign w:val="bottom"/>
            <w:tcBorders>
              <w:bottom w:val="single" w:sz="8" w:color="F6F6F6"/>
            </w:tcBorders>
            <w:shd w:val="clear" w:color="auto" w:fill="F6F6F6"/>
          </w:tcPr>
          <w:p>
            <w:pPr>
              <w:spacing w:after="0"/>
              <w:rPr>
                <w:sz w:val="21"/>
                <w:szCs w:val="21"/>
                <w:color w:val="auto"/>
              </w:rPr>
            </w:pPr>
          </w:p>
        </w:tc>
        <w:tc>
          <w:tcPr>
            <w:tcW w:w="140" w:type="dxa"/>
            <w:vAlign w:val="bottom"/>
            <w:tcBorders>
              <w:bottom w:val="single" w:sz="8" w:color="F6F6F6"/>
            </w:tcBorders>
            <w:shd w:val="clear" w:color="auto" w:fill="F6F6F6"/>
          </w:tcPr>
          <w:p>
            <w:pPr>
              <w:jc w:val="right"/>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F6F6F6"/>
            </w:tcBorders>
            <w:shd w:val="clear" w:color="auto" w:fill="F6F6F6"/>
          </w:tcPr>
          <w:p>
            <w:pPr>
              <w:jc w:val="right"/>
              <w:spacing w:after="0"/>
              <w:rPr>
                <w:sz w:val="20"/>
                <w:szCs w:val="20"/>
                <w:color w:val="auto"/>
              </w:rPr>
            </w:pPr>
            <w:r>
              <w:rPr>
                <w:rFonts w:ascii="Arial" w:cs="Arial" w:eastAsia="Arial" w:hAnsi="Arial"/>
                <w:sz w:val="18"/>
                <w:szCs w:val="18"/>
                <w:color w:val="auto"/>
              </w:rPr>
              <w:t>578,079</w:t>
            </w:r>
          </w:p>
        </w:tc>
      </w:tr>
      <w:tr>
        <w:trPr>
          <w:trHeight w:val="247"/>
        </w:trPr>
        <w:tc>
          <w:tcPr>
            <w:tcW w:w="6940" w:type="dxa"/>
            <w:vAlign w:val="bottom"/>
          </w:tcPr>
          <w:p>
            <w:pPr>
              <w:ind w:left="520"/>
              <w:spacing w:after="0"/>
              <w:rPr>
                <w:sz w:val="20"/>
                <w:szCs w:val="20"/>
                <w:color w:val="auto"/>
              </w:rPr>
            </w:pPr>
            <w:r>
              <w:rPr>
                <w:rFonts w:ascii="Arial" w:cs="Arial" w:eastAsia="Arial" w:hAnsi="Arial"/>
                <w:sz w:val="18"/>
                <w:szCs w:val="18"/>
                <w:color w:val="auto"/>
              </w:rPr>
              <w:t>Short-term investments</w:t>
            </w:r>
          </w:p>
        </w:tc>
        <w:tc>
          <w:tcPr>
            <w:tcW w:w="180" w:type="dxa"/>
            <w:vAlign w:val="bottom"/>
          </w:tcPr>
          <w:p>
            <w:pPr>
              <w:spacing w:after="0"/>
              <w:rPr>
                <w:sz w:val="21"/>
                <w:szCs w:val="21"/>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350,000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350,000</w:t>
            </w:r>
          </w:p>
        </w:tc>
      </w:tr>
      <w:tr>
        <w:trPr>
          <w:trHeight w:val="23"/>
        </w:trPr>
        <w:tc>
          <w:tcPr>
            <w:tcW w:w="6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24"/>
        </w:trPr>
        <w:tc>
          <w:tcPr>
            <w:tcW w:w="6940" w:type="dxa"/>
            <w:vAlign w:val="bottom"/>
            <w:shd w:val="clear" w:color="auto" w:fill="F6F6F6"/>
          </w:tcPr>
          <w:p>
            <w:pPr>
              <w:ind w:left="520"/>
              <w:spacing w:after="0"/>
              <w:rPr>
                <w:sz w:val="20"/>
                <w:szCs w:val="20"/>
                <w:color w:val="auto"/>
              </w:rPr>
            </w:pPr>
            <w:r>
              <w:rPr>
                <w:rFonts w:ascii="Arial" w:cs="Arial" w:eastAsia="Arial" w:hAnsi="Arial"/>
                <w:sz w:val="18"/>
                <w:szCs w:val="18"/>
                <w:color w:val="auto"/>
              </w:rPr>
              <w:t>Accounts receivable, net of allowance for credit losses of $22,097 and $22,708</w:t>
            </w:r>
          </w:p>
        </w:tc>
        <w:tc>
          <w:tcPr>
            <w:tcW w:w="180" w:type="dxa"/>
            <w:vAlign w:val="bottom"/>
            <w:shd w:val="clear" w:color="auto" w:fill="F6F6F6"/>
          </w:tcPr>
          <w:p>
            <w:pPr>
              <w:spacing w:after="0"/>
              <w:rPr>
                <w:sz w:val="19"/>
                <w:szCs w:val="19"/>
                <w:color w:val="auto"/>
              </w:rPr>
            </w:pPr>
          </w:p>
        </w:tc>
        <w:tc>
          <w:tcPr>
            <w:tcW w:w="1960" w:type="dxa"/>
            <w:vAlign w:val="bottom"/>
            <w:shd w:val="clear" w:color="auto" w:fill="F6F6F6"/>
          </w:tcPr>
          <w:p>
            <w:pPr>
              <w:spacing w:after="0"/>
              <w:rPr>
                <w:sz w:val="19"/>
                <w:szCs w:val="19"/>
                <w:color w:val="auto"/>
              </w:rPr>
            </w:pPr>
          </w:p>
        </w:tc>
        <w:tc>
          <w:tcPr>
            <w:tcW w:w="100" w:type="dxa"/>
            <w:vAlign w:val="bottom"/>
            <w:shd w:val="clear" w:color="auto" w:fill="F6F6F6"/>
          </w:tcPr>
          <w:p>
            <w:pPr>
              <w:spacing w:after="0"/>
              <w:rPr>
                <w:sz w:val="19"/>
                <w:szCs w:val="19"/>
                <w:color w:val="auto"/>
              </w:rPr>
            </w:pPr>
          </w:p>
        </w:tc>
        <w:tc>
          <w:tcPr>
            <w:tcW w:w="140" w:type="dxa"/>
            <w:vAlign w:val="bottom"/>
            <w:shd w:val="clear" w:color="auto" w:fill="F6F6F6"/>
          </w:tcPr>
          <w:p>
            <w:pPr>
              <w:spacing w:after="0"/>
              <w:rPr>
                <w:sz w:val="19"/>
                <w:szCs w:val="19"/>
                <w:color w:val="auto"/>
              </w:rPr>
            </w:pPr>
          </w:p>
        </w:tc>
        <w:tc>
          <w:tcPr>
            <w:tcW w:w="1920" w:type="dxa"/>
            <w:vAlign w:val="bottom"/>
            <w:shd w:val="clear" w:color="auto" w:fill="F6F6F6"/>
          </w:tcPr>
          <w:p>
            <w:pPr>
              <w:spacing w:after="0"/>
              <w:rPr>
                <w:sz w:val="19"/>
                <w:szCs w:val="19"/>
                <w:color w:val="auto"/>
              </w:rPr>
            </w:pPr>
          </w:p>
        </w:tc>
      </w:tr>
      <w:tr>
        <w:trPr>
          <w:trHeight w:val="242"/>
        </w:trPr>
        <w:tc>
          <w:tcPr>
            <w:tcW w:w="6940" w:type="dxa"/>
            <w:vAlign w:val="bottom"/>
            <w:tcBorders>
              <w:bottom w:val="single" w:sz="8" w:color="F6F6F6"/>
            </w:tcBorders>
            <w:shd w:val="clear" w:color="auto" w:fill="F6F6F6"/>
          </w:tcPr>
          <w:p>
            <w:pPr>
              <w:ind w:left="520"/>
              <w:spacing w:after="0"/>
              <w:rPr>
                <w:sz w:val="20"/>
                <w:szCs w:val="20"/>
                <w:color w:val="auto"/>
              </w:rPr>
            </w:pPr>
            <w:r>
              <w:rPr>
                <w:rFonts w:ascii="Arial" w:cs="Arial" w:eastAsia="Arial" w:hAnsi="Arial"/>
                <w:sz w:val="18"/>
                <w:szCs w:val="18"/>
                <w:color w:val="auto"/>
              </w:rPr>
              <w:t>as of December 31, 2025 and March 31, 2026, respectively</w:t>
            </w:r>
          </w:p>
        </w:tc>
        <w:tc>
          <w:tcPr>
            <w:tcW w:w="180" w:type="dxa"/>
            <w:vAlign w:val="bottom"/>
            <w:tcBorders>
              <w:bottom w:val="single" w:sz="8" w:color="F6F6F6"/>
            </w:tcBorders>
            <w:shd w:val="clear" w:color="auto" w:fill="F6F6F6"/>
          </w:tcPr>
          <w:p>
            <w:pPr>
              <w:spacing w:after="0"/>
              <w:rPr>
                <w:sz w:val="21"/>
                <w:szCs w:val="21"/>
                <w:color w:val="auto"/>
              </w:rPr>
            </w:pPr>
          </w:p>
        </w:tc>
        <w:tc>
          <w:tcPr>
            <w:tcW w:w="1960" w:type="dxa"/>
            <w:vAlign w:val="bottom"/>
            <w:tcBorders>
              <w:bottom w:val="single" w:sz="8" w:color="F6F6F6"/>
            </w:tcBorders>
            <w:shd w:val="clear" w:color="auto" w:fill="F6F6F6"/>
          </w:tcPr>
          <w:p>
            <w:pPr>
              <w:jc w:val="right"/>
              <w:spacing w:after="0"/>
              <w:rPr>
                <w:sz w:val="20"/>
                <w:szCs w:val="20"/>
                <w:color w:val="auto"/>
              </w:rPr>
            </w:pPr>
            <w:r>
              <w:rPr>
                <w:rFonts w:ascii="Arial" w:cs="Arial" w:eastAsia="Arial" w:hAnsi="Arial"/>
                <w:sz w:val="18"/>
                <w:szCs w:val="18"/>
                <w:color w:val="auto"/>
              </w:rPr>
              <w:t>1,240,550</w:t>
            </w:r>
          </w:p>
        </w:tc>
        <w:tc>
          <w:tcPr>
            <w:tcW w:w="100" w:type="dxa"/>
            <w:vAlign w:val="bottom"/>
            <w:tcBorders>
              <w:bottom w:val="single" w:sz="8" w:color="F6F6F6"/>
            </w:tcBorders>
            <w:shd w:val="clear" w:color="auto" w:fill="F6F6F6"/>
          </w:tcPr>
          <w:p>
            <w:pPr>
              <w:spacing w:after="0"/>
              <w:rPr>
                <w:sz w:val="21"/>
                <w:szCs w:val="21"/>
                <w:color w:val="auto"/>
              </w:rPr>
            </w:pPr>
          </w:p>
        </w:tc>
        <w:tc>
          <w:tcPr>
            <w:tcW w:w="140" w:type="dxa"/>
            <w:vAlign w:val="bottom"/>
            <w:tcBorders>
              <w:bottom w:val="single" w:sz="8" w:color="F6F6F6"/>
            </w:tcBorders>
            <w:shd w:val="clear" w:color="auto" w:fill="F6F6F6"/>
          </w:tcPr>
          <w:p>
            <w:pPr>
              <w:spacing w:after="0"/>
              <w:rPr>
                <w:sz w:val="21"/>
                <w:szCs w:val="21"/>
                <w:color w:val="auto"/>
              </w:rPr>
            </w:pPr>
          </w:p>
        </w:tc>
        <w:tc>
          <w:tcPr>
            <w:tcW w:w="1920" w:type="dxa"/>
            <w:vAlign w:val="bottom"/>
            <w:tcBorders>
              <w:bottom w:val="single" w:sz="8" w:color="F6F6F6"/>
            </w:tcBorders>
            <w:shd w:val="clear" w:color="auto" w:fill="F6F6F6"/>
          </w:tcPr>
          <w:p>
            <w:pPr>
              <w:jc w:val="right"/>
              <w:spacing w:after="0"/>
              <w:rPr>
                <w:sz w:val="20"/>
                <w:szCs w:val="20"/>
                <w:color w:val="auto"/>
              </w:rPr>
            </w:pPr>
            <w:r>
              <w:rPr>
                <w:rFonts w:ascii="Arial" w:cs="Arial" w:eastAsia="Arial" w:hAnsi="Arial"/>
                <w:sz w:val="18"/>
                <w:szCs w:val="18"/>
                <w:color w:val="auto"/>
              </w:rPr>
              <w:t>1,259,922</w:t>
            </w:r>
          </w:p>
        </w:tc>
      </w:tr>
      <w:tr>
        <w:trPr>
          <w:trHeight w:val="247"/>
        </w:trPr>
        <w:tc>
          <w:tcPr>
            <w:tcW w:w="6940" w:type="dxa"/>
            <w:vAlign w:val="bottom"/>
          </w:tcPr>
          <w:p>
            <w:pPr>
              <w:ind w:left="520"/>
              <w:spacing w:after="0"/>
              <w:rPr>
                <w:sz w:val="20"/>
                <w:szCs w:val="20"/>
                <w:color w:val="auto"/>
              </w:rPr>
            </w:pPr>
            <w:r>
              <w:rPr>
                <w:rFonts w:ascii="Arial" w:cs="Arial" w:eastAsia="Arial" w:hAnsi="Arial"/>
                <w:sz w:val="18"/>
                <w:szCs w:val="18"/>
                <w:color w:val="auto"/>
              </w:rPr>
              <w:t>Prepaid expenses and other current assets</w:t>
            </w:r>
          </w:p>
        </w:tc>
        <w:tc>
          <w:tcPr>
            <w:tcW w:w="180" w:type="dxa"/>
            <w:vAlign w:val="bottom"/>
          </w:tcPr>
          <w:p>
            <w:pPr>
              <w:spacing w:after="0"/>
              <w:rPr>
                <w:sz w:val="21"/>
                <w:szCs w:val="21"/>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211,981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217,257</w:t>
            </w:r>
          </w:p>
        </w:tc>
      </w:tr>
      <w:tr>
        <w:trPr>
          <w:trHeight w:val="23"/>
        </w:trPr>
        <w:tc>
          <w:tcPr>
            <w:tcW w:w="6940" w:type="dxa"/>
            <w:vAlign w:val="bottom"/>
            <w:tcBorders>
              <w:bottom w:val="single" w:sz="8" w:color="F6F6F6"/>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00" w:type="dxa"/>
            <w:vAlign w:val="bottom"/>
            <w:tcBorders>
              <w:bottom w:val="single" w:sz="8" w:color="F6F6F6"/>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63"/>
        </w:trPr>
        <w:tc>
          <w:tcPr>
            <w:tcW w:w="6940" w:type="dxa"/>
            <w:vAlign w:val="bottom"/>
            <w:shd w:val="clear" w:color="auto" w:fill="F6F6F6"/>
          </w:tcPr>
          <w:p>
            <w:pPr>
              <w:ind w:left="520"/>
              <w:spacing w:after="0"/>
              <w:rPr>
                <w:sz w:val="20"/>
                <w:szCs w:val="20"/>
                <w:color w:val="auto"/>
              </w:rPr>
            </w:pPr>
            <w:r>
              <w:rPr>
                <w:rFonts w:ascii="Arial" w:cs="Arial" w:eastAsia="Arial" w:hAnsi="Arial"/>
                <w:sz w:val="18"/>
                <w:szCs w:val="18"/>
                <w:b w:val="1"/>
                <w:bCs w:val="1"/>
                <w:color w:val="auto"/>
              </w:rPr>
              <w:t>Total current assets</w:t>
            </w:r>
          </w:p>
        </w:tc>
        <w:tc>
          <w:tcPr>
            <w:tcW w:w="180" w:type="dxa"/>
            <w:vAlign w:val="bottom"/>
            <w:shd w:val="clear" w:color="auto" w:fill="F6F6F6"/>
          </w:tcPr>
          <w:p>
            <w:pPr>
              <w:jc w:val="right"/>
              <w:spacing w:after="0"/>
              <w:rPr>
                <w:sz w:val="20"/>
                <w:szCs w:val="20"/>
                <w:color w:val="auto"/>
              </w:rPr>
            </w:pPr>
            <w:r>
              <w:rPr>
                <w:rFonts w:ascii="Arial" w:cs="Arial" w:eastAsia="Arial" w:hAnsi="Arial"/>
                <w:sz w:val="18"/>
                <w:szCs w:val="18"/>
                <w:b w:val="1"/>
                <w:bCs w:val="1"/>
                <w:color w:val="auto"/>
                <w:w w:val="99"/>
              </w:rPr>
              <w:t>$</w:t>
            </w:r>
          </w:p>
        </w:tc>
        <w:tc>
          <w:tcPr>
            <w:tcW w:w="1960" w:type="dxa"/>
            <w:vAlign w:val="bottom"/>
            <w:shd w:val="clear" w:color="auto" w:fill="F6F6F6"/>
          </w:tcPr>
          <w:p>
            <w:pPr>
              <w:jc w:val="right"/>
              <w:spacing w:after="0"/>
              <w:rPr>
                <w:sz w:val="20"/>
                <w:szCs w:val="20"/>
                <w:color w:val="auto"/>
              </w:rPr>
            </w:pPr>
            <w:r>
              <w:rPr>
                <w:rFonts w:ascii="Arial" w:cs="Arial" w:eastAsia="Arial" w:hAnsi="Arial"/>
                <w:sz w:val="18"/>
                <w:szCs w:val="18"/>
                <w:b w:val="1"/>
                <w:bCs w:val="1"/>
                <w:color w:val="auto"/>
              </w:rPr>
              <w:t>2,656,367</w:t>
            </w:r>
          </w:p>
        </w:tc>
        <w:tc>
          <w:tcPr>
            <w:tcW w:w="100" w:type="dxa"/>
            <w:vAlign w:val="bottom"/>
            <w:shd w:val="clear" w:color="auto" w:fill="F6F6F6"/>
          </w:tcPr>
          <w:p>
            <w:pPr>
              <w:spacing w:after="0"/>
              <w:rPr>
                <w:sz w:val="22"/>
                <w:szCs w:val="22"/>
                <w:color w:val="auto"/>
              </w:rPr>
            </w:pPr>
          </w:p>
        </w:tc>
        <w:tc>
          <w:tcPr>
            <w:tcW w:w="140" w:type="dxa"/>
            <w:vAlign w:val="bottom"/>
            <w:shd w:val="clear" w:color="auto" w:fill="F6F6F6"/>
          </w:tcPr>
          <w:p>
            <w:pPr>
              <w:jc w:val="right"/>
              <w:spacing w:after="0"/>
              <w:rPr>
                <w:sz w:val="20"/>
                <w:szCs w:val="20"/>
                <w:color w:val="auto"/>
              </w:rPr>
            </w:pPr>
            <w:r>
              <w:rPr>
                <w:rFonts w:ascii="Arial" w:cs="Arial" w:eastAsia="Arial" w:hAnsi="Arial"/>
                <w:sz w:val="18"/>
                <w:szCs w:val="18"/>
                <w:b w:val="1"/>
                <w:bCs w:val="1"/>
                <w:color w:val="auto"/>
                <w:w w:val="99"/>
              </w:rPr>
              <w:t>$</w:t>
            </w:r>
          </w:p>
        </w:tc>
        <w:tc>
          <w:tcPr>
            <w:tcW w:w="1920" w:type="dxa"/>
            <w:vAlign w:val="bottom"/>
            <w:shd w:val="clear" w:color="auto" w:fill="F6F6F6"/>
          </w:tcPr>
          <w:p>
            <w:pPr>
              <w:jc w:val="right"/>
              <w:spacing w:after="0"/>
              <w:rPr>
                <w:sz w:val="20"/>
                <w:szCs w:val="20"/>
                <w:color w:val="auto"/>
              </w:rPr>
            </w:pPr>
            <w:r>
              <w:rPr>
                <w:rFonts w:ascii="Arial" w:cs="Arial" w:eastAsia="Arial" w:hAnsi="Arial"/>
                <w:sz w:val="18"/>
                <w:szCs w:val="18"/>
                <w:b w:val="1"/>
                <w:bCs w:val="1"/>
                <w:color w:val="auto"/>
              </w:rPr>
              <w:t>2,405,258</w:t>
            </w:r>
          </w:p>
        </w:tc>
      </w:tr>
      <w:tr>
        <w:trPr>
          <w:trHeight w:val="324"/>
        </w:trPr>
        <w:tc>
          <w:tcPr>
            <w:tcW w:w="6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250"/>
        </w:trPr>
        <w:tc>
          <w:tcPr>
            <w:tcW w:w="6940" w:type="dxa"/>
            <w:vAlign w:val="bottom"/>
            <w:tcBorders>
              <w:bottom w:val="single" w:sz="8" w:color="F6F6F6"/>
            </w:tcBorders>
            <w:shd w:val="clear" w:color="auto" w:fill="F6F6F6"/>
          </w:tcPr>
          <w:p>
            <w:pPr>
              <w:ind w:left="20"/>
              <w:spacing w:after="0"/>
              <w:rPr>
                <w:sz w:val="20"/>
                <w:szCs w:val="20"/>
                <w:color w:val="auto"/>
              </w:rPr>
            </w:pPr>
            <w:r>
              <w:rPr>
                <w:rFonts w:ascii="Arial" w:cs="Arial" w:eastAsia="Arial" w:hAnsi="Arial"/>
                <w:sz w:val="18"/>
                <w:szCs w:val="18"/>
                <w:color w:val="auto"/>
              </w:rPr>
              <w:t>Property, plant and equipment, net</w:t>
            </w:r>
          </w:p>
        </w:tc>
        <w:tc>
          <w:tcPr>
            <w:tcW w:w="180" w:type="dxa"/>
            <w:vAlign w:val="bottom"/>
            <w:tcBorders>
              <w:bottom w:val="single" w:sz="8" w:color="F6F6F6"/>
            </w:tcBorders>
            <w:shd w:val="clear" w:color="auto" w:fill="F6F6F6"/>
          </w:tcPr>
          <w:p>
            <w:pPr>
              <w:spacing w:after="0"/>
              <w:rPr>
                <w:sz w:val="21"/>
                <w:szCs w:val="21"/>
                <w:color w:val="auto"/>
              </w:rPr>
            </w:pPr>
          </w:p>
        </w:tc>
        <w:tc>
          <w:tcPr>
            <w:tcW w:w="1960" w:type="dxa"/>
            <w:vAlign w:val="bottom"/>
            <w:tcBorders>
              <w:bottom w:val="single" w:sz="8" w:color="F6F6F6"/>
            </w:tcBorders>
            <w:shd w:val="clear" w:color="auto" w:fill="F6F6F6"/>
          </w:tcPr>
          <w:p>
            <w:pPr>
              <w:jc w:val="right"/>
              <w:spacing w:after="0"/>
              <w:rPr>
                <w:sz w:val="20"/>
                <w:szCs w:val="20"/>
                <w:color w:val="auto"/>
              </w:rPr>
            </w:pPr>
            <w:r>
              <w:rPr>
                <w:rFonts w:ascii="Arial" w:cs="Arial" w:eastAsia="Arial" w:hAnsi="Arial"/>
                <w:sz w:val="18"/>
                <w:szCs w:val="18"/>
                <w:color w:val="auto"/>
              </w:rPr>
              <w:t>190,448</w:t>
            </w:r>
          </w:p>
        </w:tc>
        <w:tc>
          <w:tcPr>
            <w:tcW w:w="100" w:type="dxa"/>
            <w:vAlign w:val="bottom"/>
            <w:tcBorders>
              <w:bottom w:val="single" w:sz="8" w:color="F6F6F6"/>
            </w:tcBorders>
            <w:shd w:val="clear" w:color="auto" w:fill="F6F6F6"/>
          </w:tcPr>
          <w:p>
            <w:pPr>
              <w:spacing w:after="0"/>
              <w:rPr>
                <w:sz w:val="21"/>
                <w:szCs w:val="21"/>
                <w:color w:val="auto"/>
              </w:rPr>
            </w:pPr>
          </w:p>
        </w:tc>
        <w:tc>
          <w:tcPr>
            <w:tcW w:w="140" w:type="dxa"/>
            <w:vAlign w:val="bottom"/>
            <w:tcBorders>
              <w:bottom w:val="single" w:sz="8" w:color="F6F6F6"/>
            </w:tcBorders>
            <w:shd w:val="clear" w:color="auto" w:fill="F6F6F6"/>
          </w:tcPr>
          <w:p>
            <w:pPr>
              <w:spacing w:after="0"/>
              <w:rPr>
                <w:sz w:val="21"/>
                <w:szCs w:val="21"/>
                <w:color w:val="auto"/>
              </w:rPr>
            </w:pPr>
          </w:p>
        </w:tc>
        <w:tc>
          <w:tcPr>
            <w:tcW w:w="1920" w:type="dxa"/>
            <w:vAlign w:val="bottom"/>
            <w:tcBorders>
              <w:bottom w:val="single" w:sz="8" w:color="F6F6F6"/>
            </w:tcBorders>
            <w:shd w:val="clear" w:color="auto" w:fill="F6F6F6"/>
          </w:tcPr>
          <w:p>
            <w:pPr>
              <w:jc w:val="right"/>
              <w:spacing w:after="0"/>
              <w:rPr>
                <w:sz w:val="20"/>
                <w:szCs w:val="20"/>
                <w:color w:val="auto"/>
              </w:rPr>
            </w:pPr>
            <w:r>
              <w:rPr>
                <w:rFonts w:ascii="Arial" w:cs="Arial" w:eastAsia="Arial" w:hAnsi="Arial"/>
                <w:sz w:val="18"/>
                <w:szCs w:val="18"/>
                <w:color w:val="auto"/>
              </w:rPr>
              <w:t>180,669</w:t>
            </w:r>
          </w:p>
        </w:tc>
      </w:tr>
      <w:tr>
        <w:trPr>
          <w:trHeight w:val="247"/>
        </w:trPr>
        <w:tc>
          <w:tcPr>
            <w:tcW w:w="6940" w:type="dxa"/>
            <w:vAlign w:val="bottom"/>
          </w:tcPr>
          <w:p>
            <w:pPr>
              <w:ind w:left="20"/>
              <w:spacing w:after="0"/>
              <w:rPr>
                <w:sz w:val="20"/>
                <w:szCs w:val="20"/>
                <w:color w:val="auto"/>
              </w:rPr>
            </w:pPr>
            <w:r>
              <w:rPr>
                <w:rFonts w:ascii="Arial" w:cs="Arial" w:eastAsia="Arial" w:hAnsi="Arial"/>
                <w:sz w:val="18"/>
                <w:szCs w:val="18"/>
                <w:color w:val="auto"/>
              </w:rPr>
              <w:t>Operating lease right-of-use assets</w:t>
            </w:r>
          </w:p>
        </w:tc>
        <w:tc>
          <w:tcPr>
            <w:tcW w:w="180" w:type="dxa"/>
            <w:vAlign w:val="bottom"/>
          </w:tcPr>
          <w:p>
            <w:pPr>
              <w:spacing w:after="0"/>
              <w:rPr>
                <w:sz w:val="21"/>
                <w:szCs w:val="21"/>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181,708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187,421</w:t>
            </w:r>
          </w:p>
        </w:tc>
      </w:tr>
      <w:tr>
        <w:trPr>
          <w:trHeight w:val="23"/>
        </w:trPr>
        <w:tc>
          <w:tcPr>
            <w:tcW w:w="6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6940" w:type="dxa"/>
            <w:vAlign w:val="bottom"/>
            <w:tcBorders>
              <w:bottom w:val="single" w:sz="8" w:color="F6F6F6"/>
            </w:tcBorders>
            <w:shd w:val="clear" w:color="auto" w:fill="F6F6F6"/>
          </w:tcPr>
          <w:p>
            <w:pPr>
              <w:ind w:left="20"/>
              <w:spacing w:after="0"/>
              <w:rPr>
                <w:sz w:val="20"/>
                <w:szCs w:val="20"/>
                <w:color w:val="auto"/>
              </w:rPr>
            </w:pPr>
            <w:r>
              <w:rPr>
                <w:rFonts w:ascii="Arial" w:cs="Arial" w:eastAsia="Arial" w:hAnsi="Arial"/>
                <w:sz w:val="18"/>
                <w:szCs w:val="18"/>
                <w:color w:val="auto"/>
              </w:rPr>
              <w:t>Deferred tax assets</w:t>
            </w:r>
          </w:p>
        </w:tc>
        <w:tc>
          <w:tcPr>
            <w:tcW w:w="180" w:type="dxa"/>
            <w:vAlign w:val="bottom"/>
            <w:tcBorders>
              <w:bottom w:val="single" w:sz="8" w:color="F6F6F6"/>
            </w:tcBorders>
            <w:shd w:val="clear" w:color="auto" w:fill="F6F6F6"/>
          </w:tcPr>
          <w:p>
            <w:pPr>
              <w:spacing w:after="0"/>
              <w:rPr>
                <w:sz w:val="21"/>
                <w:szCs w:val="21"/>
                <w:color w:val="auto"/>
              </w:rPr>
            </w:pPr>
          </w:p>
        </w:tc>
        <w:tc>
          <w:tcPr>
            <w:tcW w:w="1960" w:type="dxa"/>
            <w:vAlign w:val="bottom"/>
            <w:tcBorders>
              <w:bottom w:val="single" w:sz="8" w:color="F6F6F6"/>
            </w:tcBorders>
            <w:shd w:val="clear" w:color="auto" w:fill="F6F6F6"/>
          </w:tcPr>
          <w:p>
            <w:pPr>
              <w:jc w:val="right"/>
              <w:spacing w:after="0"/>
              <w:rPr>
                <w:sz w:val="20"/>
                <w:szCs w:val="20"/>
                <w:color w:val="auto"/>
              </w:rPr>
            </w:pPr>
            <w:r>
              <w:rPr>
                <w:rFonts w:ascii="Arial" w:cs="Arial" w:eastAsia="Arial" w:hAnsi="Arial"/>
                <w:sz w:val="18"/>
                <w:szCs w:val="18"/>
                <w:color w:val="auto"/>
              </w:rPr>
              <w:t>258,789</w:t>
            </w:r>
          </w:p>
        </w:tc>
        <w:tc>
          <w:tcPr>
            <w:tcW w:w="100" w:type="dxa"/>
            <w:vAlign w:val="bottom"/>
            <w:tcBorders>
              <w:bottom w:val="single" w:sz="8" w:color="F6F6F6"/>
            </w:tcBorders>
            <w:shd w:val="clear" w:color="auto" w:fill="F6F6F6"/>
          </w:tcPr>
          <w:p>
            <w:pPr>
              <w:spacing w:after="0"/>
              <w:rPr>
                <w:sz w:val="21"/>
                <w:szCs w:val="21"/>
                <w:color w:val="auto"/>
              </w:rPr>
            </w:pPr>
          </w:p>
        </w:tc>
        <w:tc>
          <w:tcPr>
            <w:tcW w:w="140" w:type="dxa"/>
            <w:vAlign w:val="bottom"/>
            <w:tcBorders>
              <w:bottom w:val="single" w:sz="8" w:color="F6F6F6"/>
            </w:tcBorders>
            <w:shd w:val="clear" w:color="auto" w:fill="F6F6F6"/>
          </w:tcPr>
          <w:p>
            <w:pPr>
              <w:spacing w:after="0"/>
              <w:rPr>
                <w:sz w:val="21"/>
                <w:szCs w:val="21"/>
                <w:color w:val="auto"/>
              </w:rPr>
            </w:pPr>
          </w:p>
        </w:tc>
        <w:tc>
          <w:tcPr>
            <w:tcW w:w="1920" w:type="dxa"/>
            <w:vAlign w:val="bottom"/>
            <w:tcBorders>
              <w:bottom w:val="single" w:sz="8" w:color="F6F6F6"/>
            </w:tcBorders>
            <w:shd w:val="clear" w:color="auto" w:fill="F6F6F6"/>
          </w:tcPr>
          <w:p>
            <w:pPr>
              <w:jc w:val="right"/>
              <w:spacing w:after="0"/>
              <w:rPr>
                <w:sz w:val="20"/>
                <w:szCs w:val="20"/>
                <w:color w:val="auto"/>
              </w:rPr>
            </w:pPr>
            <w:r>
              <w:rPr>
                <w:rFonts w:ascii="Arial" w:cs="Arial" w:eastAsia="Arial" w:hAnsi="Arial"/>
                <w:sz w:val="18"/>
                <w:szCs w:val="18"/>
                <w:color w:val="auto"/>
              </w:rPr>
              <w:t>269,073</w:t>
            </w:r>
          </w:p>
        </w:tc>
      </w:tr>
      <w:tr>
        <w:trPr>
          <w:trHeight w:val="247"/>
        </w:trPr>
        <w:tc>
          <w:tcPr>
            <w:tcW w:w="6940" w:type="dxa"/>
            <w:vAlign w:val="bottom"/>
          </w:tcPr>
          <w:p>
            <w:pPr>
              <w:ind w:left="20"/>
              <w:spacing w:after="0"/>
              <w:rPr>
                <w:sz w:val="20"/>
                <w:szCs w:val="20"/>
                <w:color w:val="auto"/>
              </w:rPr>
            </w:pPr>
            <w:r>
              <w:rPr>
                <w:rFonts w:ascii="Arial" w:cs="Arial" w:eastAsia="Arial" w:hAnsi="Arial"/>
                <w:sz w:val="18"/>
                <w:szCs w:val="18"/>
                <w:color w:val="auto"/>
              </w:rPr>
              <w:t>Intangible assets, net</w:t>
            </w:r>
          </w:p>
        </w:tc>
        <w:tc>
          <w:tcPr>
            <w:tcW w:w="180" w:type="dxa"/>
            <w:vAlign w:val="bottom"/>
          </w:tcPr>
          <w:p>
            <w:pPr>
              <w:spacing w:after="0"/>
              <w:rPr>
                <w:sz w:val="21"/>
                <w:szCs w:val="21"/>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67,040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69,742</w:t>
            </w:r>
          </w:p>
        </w:tc>
      </w:tr>
      <w:tr>
        <w:trPr>
          <w:trHeight w:val="23"/>
        </w:trPr>
        <w:tc>
          <w:tcPr>
            <w:tcW w:w="6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6940" w:type="dxa"/>
            <w:vAlign w:val="bottom"/>
            <w:tcBorders>
              <w:bottom w:val="single" w:sz="8" w:color="F6F6F6"/>
            </w:tcBorders>
            <w:shd w:val="clear" w:color="auto" w:fill="F6F6F6"/>
          </w:tcPr>
          <w:p>
            <w:pPr>
              <w:ind w:left="20"/>
              <w:spacing w:after="0"/>
              <w:rPr>
                <w:sz w:val="20"/>
                <w:szCs w:val="20"/>
                <w:color w:val="auto"/>
              </w:rPr>
            </w:pPr>
            <w:r>
              <w:rPr>
                <w:rFonts w:ascii="Arial" w:cs="Arial" w:eastAsia="Arial" w:hAnsi="Arial"/>
                <w:sz w:val="18"/>
                <w:szCs w:val="18"/>
                <w:color w:val="auto"/>
              </w:rPr>
              <w:t>Goodwill</w:t>
            </w:r>
          </w:p>
        </w:tc>
        <w:tc>
          <w:tcPr>
            <w:tcW w:w="180" w:type="dxa"/>
            <w:vAlign w:val="bottom"/>
            <w:tcBorders>
              <w:bottom w:val="single" w:sz="8" w:color="F6F6F6"/>
            </w:tcBorders>
            <w:shd w:val="clear" w:color="auto" w:fill="F6F6F6"/>
          </w:tcPr>
          <w:p>
            <w:pPr>
              <w:spacing w:after="0"/>
              <w:rPr>
                <w:sz w:val="21"/>
                <w:szCs w:val="21"/>
                <w:color w:val="auto"/>
              </w:rPr>
            </w:pPr>
          </w:p>
        </w:tc>
        <w:tc>
          <w:tcPr>
            <w:tcW w:w="1960" w:type="dxa"/>
            <w:vAlign w:val="bottom"/>
            <w:tcBorders>
              <w:bottom w:val="single" w:sz="8" w:color="F6F6F6"/>
            </w:tcBorders>
            <w:shd w:val="clear" w:color="auto" w:fill="F6F6F6"/>
          </w:tcPr>
          <w:p>
            <w:pPr>
              <w:jc w:val="right"/>
              <w:spacing w:after="0"/>
              <w:rPr>
                <w:sz w:val="20"/>
                <w:szCs w:val="20"/>
                <w:color w:val="auto"/>
              </w:rPr>
            </w:pPr>
            <w:r>
              <w:rPr>
                <w:rFonts w:ascii="Arial" w:cs="Arial" w:eastAsia="Arial" w:hAnsi="Arial"/>
                <w:sz w:val="18"/>
                <w:szCs w:val="18"/>
                <w:color w:val="auto"/>
              </w:rPr>
              <w:t>1,781,116</w:t>
            </w:r>
          </w:p>
        </w:tc>
        <w:tc>
          <w:tcPr>
            <w:tcW w:w="100" w:type="dxa"/>
            <w:vAlign w:val="bottom"/>
            <w:tcBorders>
              <w:bottom w:val="single" w:sz="8" w:color="F6F6F6"/>
            </w:tcBorders>
            <w:shd w:val="clear" w:color="auto" w:fill="F6F6F6"/>
          </w:tcPr>
          <w:p>
            <w:pPr>
              <w:spacing w:after="0"/>
              <w:rPr>
                <w:sz w:val="21"/>
                <w:szCs w:val="21"/>
                <w:color w:val="auto"/>
              </w:rPr>
            </w:pPr>
          </w:p>
        </w:tc>
        <w:tc>
          <w:tcPr>
            <w:tcW w:w="140" w:type="dxa"/>
            <w:vAlign w:val="bottom"/>
            <w:tcBorders>
              <w:bottom w:val="single" w:sz="8" w:color="F6F6F6"/>
            </w:tcBorders>
            <w:shd w:val="clear" w:color="auto" w:fill="F6F6F6"/>
          </w:tcPr>
          <w:p>
            <w:pPr>
              <w:spacing w:after="0"/>
              <w:rPr>
                <w:sz w:val="21"/>
                <w:szCs w:val="21"/>
                <w:color w:val="auto"/>
              </w:rPr>
            </w:pPr>
          </w:p>
        </w:tc>
        <w:tc>
          <w:tcPr>
            <w:tcW w:w="1920" w:type="dxa"/>
            <w:vAlign w:val="bottom"/>
            <w:tcBorders>
              <w:bottom w:val="single" w:sz="8" w:color="F6F6F6"/>
            </w:tcBorders>
            <w:shd w:val="clear" w:color="auto" w:fill="F6F6F6"/>
          </w:tcPr>
          <w:p>
            <w:pPr>
              <w:jc w:val="right"/>
              <w:spacing w:after="0"/>
              <w:rPr>
                <w:sz w:val="20"/>
                <w:szCs w:val="20"/>
                <w:color w:val="auto"/>
              </w:rPr>
            </w:pPr>
            <w:r>
              <w:rPr>
                <w:rFonts w:ascii="Arial" w:cs="Arial" w:eastAsia="Arial" w:hAnsi="Arial"/>
                <w:sz w:val="18"/>
                <w:szCs w:val="18"/>
                <w:color w:val="auto"/>
              </w:rPr>
              <w:t>1,767,683</w:t>
            </w:r>
          </w:p>
        </w:tc>
      </w:tr>
      <w:tr>
        <w:trPr>
          <w:trHeight w:val="247"/>
        </w:trPr>
        <w:tc>
          <w:tcPr>
            <w:tcW w:w="6940" w:type="dxa"/>
            <w:vAlign w:val="bottom"/>
          </w:tcPr>
          <w:p>
            <w:pPr>
              <w:ind w:left="20"/>
              <w:spacing w:after="0"/>
              <w:rPr>
                <w:sz w:val="20"/>
                <w:szCs w:val="20"/>
                <w:color w:val="auto"/>
              </w:rPr>
            </w:pPr>
            <w:r>
              <w:rPr>
                <w:rFonts w:ascii="Arial" w:cs="Arial" w:eastAsia="Arial" w:hAnsi="Arial"/>
                <w:sz w:val="18"/>
                <w:szCs w:val="18"/>
                <w:color w:val="auto"/>
              </w:rPr>
              <w:t>Contract cost assets</w:t>
            </w:r>
          </w:p>
        </w:tc>
        <w:tc>
          <w:tcPr>
            <w:tcW w:w="180" w:type="dxa"/>
            <w:vAlign w:val="bottom"/>
          </w:tcPr>
          <w:p>
            <w:pPr>
              <w:spacing w:after="0"/>
              <w:rPr>
                <w:sz w:val="21"/>
                <w:szCs w:val="21"/>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197,419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192,871</w:t>
            </w:r>
          </w:p>
        </w:tc>
      </w:tr>
      <w:tr>
        <w:trPr>
          <w:trHeight w:val="23"/>
        </w:trPr>
        <w:tc>
          <w:tcPr>
            <w:tcW w:w="6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24"/>
        </w:trPr>
        <w:tc>
          <w:tcPr>
            <w:tcW w:w="6940" w:type="dxa"/>
            <w:vAlign w:val="bottom"/>
            <w:shd w:val="clear" w:color="auto" w:fill="F6F6F6"/>
          </w:tcPr>
          <w:p>
            <w:pPr>
              <w:ind w:left="20"/>
              <w:spacing w:after="0"/>
              <w:rPr>
                <w:sz w:val="20"/>
                <w:szCs w:val="20"/>
                <w:color w:val="auto"/>
              </w:rPr>
            </w:pPr>
            <w:r>
              <w:rPr>
                <w:rFonts w:ascii="Arial" w:cs="Arial" w:eastAsia="Arial" w:hAnsi="Arial"/>
                <w:sz w:val="18"/>
                <w:szCs w:val="18"/>
                <w:color w:val="auto"/>
              </w:rPr>
              <w:t>Other assets, net of allowance for credit losses of $10,659 and $12,435 as of</w:t>
            </w:r>
          </w:p>
        </w:tc>
        <w:tc>
          <w:tcPr>
            <w:tcW w:w="180" w:type="dxa"/>
            <w:vAlign w:val="bottom"/>
            <w:shd w:val="clear" w:color="auto" w:fill="F6F6F6"/>
          </w:tcPr>
          <w:p>
            <w:pPr>
              <w:spacing w:after="0"/>
              <w:rPr>
                <w:sz w:val="19"/>
                <w:szCs w:val="19"/>
                <w:color w:val="auto"/>
              </w:rPr>
            </w:pPr>
          </w:p>
        </w:tc>
        <w:tc>
          <w:tcPr>
            <w:tcW w:w="1960" w:type="dxa"/>
            <w:vAlign w:val="bottom"/>
            <w:shd w:val="clear" w:color="auto" w:fill="F6F6F6"/>
          </w:tcPr>
          <w:p>
            <w:pPr>
              <w:spacing w:after="0"/>
              <w:rPr>
                <w:sz w:val="19"/>
                <w:szCs w:val="19"/>
                <w:color w:val="auto"/>
              </w:rPr>
            </w:pPr>
          </w:p>
        </w:tc>
        <w:tc>
          <w:tcPr>
            <w:tcW w:w="100" w:type="dxa"/>
            <w:vAlign w:val="bottom"/>
            <w:shd w:val="clear" w:color="auto" w:fill="F6F6F6"/>
          </w:tcPr>
          <w:p>
            <w:pPr>
              <w:spacing w:after="0"/>
              <w:rPr>
                <w:sz w:val="19"/>
                <w:szCs w:val="19"/>
                <w:color w:val="auto"/>
              </w:rPr>
            </w:pPr>
          </w:p>
        </w:tc>
        <w:tc>
          <w:tcPr>
            <w:tcW w:w="140" w:type="dxa"/>
            <w:vAlign w:val="bottom"/>
            <w:shd w:val="clear" w:color="auto" w:fill="F6F6F6"/>
          </w:tcPr>
          <w:p>
            <w:pPr>
              <w:spacing w:after="0"/>
              <w:rPr>
                <w:sz w:val="19"/>
                <w:szCs w:val="19"/>
                <w:color w:val="auto"/>
              </w:rPr>
            </w:pPr>
          </w:p>
        </w:tc>
        <w:tc>
          <w:tcPr>
            <w:tcW w:w="1920" w:type="dxa"/>
            <w:vAlign w:val="bottom"/>
            <w:shd w:val="clear" w:color="auto" w:fill="F6F6F6"/>
          </w:tcPr>
          <w:p>
            <w:pPr>
              <w:spacing w:after="0"/>
              <w:rPr>
                <w:sz w:val="19"/>
                <w:szCs w:val="19"/>
                <w:color w:val="auto"/>
              </w:rPr>
            </w:pPr>
          </w:p>
        </w:tc>
      </w:tr>
      <w:tr>
        <w:trPr>
          <w:trHeight w:val="262"/>
        </w:trPr>
        <w:tc>
          <w:tcPr>
            <w:tcW w:w="6940" w:type="dxa"/>
            <w:vAlign w:val="bottom"/>
            <w:tcBorders>
              <w:bottom w:val="single" w:sz="8" w:color="F6F6F6"/>
            </w:tcBorders>
            <w:shd w:val="clear" w:color="auto" w:fill="F6F6F6"/>
          </w:tcPr>
          <w:p>
            <w:pPr>
              <w:ind w:left="20"/>
              <w:spacing w:after="0"/>
              <w:rPr>
                <w:sz w:val="20"/>
                <w:szCs w:val="20"/>
                <w:color w:val="auto"/>
              </w:rPr>
            </w:pPr>
            <w:r>
              <w:rPr>
                <w:rFonts w:ascii="Arial" w:cs="Arial" w:eastAsia="Arial" w:hAnsi="Arial"/>
                <w:sz w:val="18"/>
                <w:szCs w:val="18"/>
                <w:color w:val="auto"/>
              </w:rPr>
              <w:t>December 31, 2025 and March 31, 2026, respectively</w:t>
            </w:r>
          </w:p>
        </w:tc>
        <w:tc>
          <w:tcPr>
            <w:tcW w:w="180" w:type="dxa"/>
            <w:vAlign w:val="bottom"/>
            <w:tcBorders>
              <w:bottom w:val="single" w:sz="8" w:color="F6F6F6"/>
            </w:tcBorders>
            <w:shd w:val="clear" w:color="auto" w:fill="F6F6F6"/>
          </w:tcPr>
          <w:p>
            <w:pPr>
              <w:spacing w:after="0"/>
              <w:rPr>
                <w:sz w:val="22"/>
                <w:szCs w:val="22"/>
                <w:color w:val="auto"/>
              </w:rPr>
            </w:pPr>
          </w:p>
        </w:tc>
        <w:tc>
          <w:tcPr>
            <w:tcW w:w="1960" w:type="dxa"/>
            <w:vAlign w:val="bottom"/>
            <w:tcBorders>
              <w:bottom w:val="single" w:sz="8" w:color="F6F6F6"/>
            </w:tcBorders>
            <w:shd w:val="clear" w:color="auto" w:fill="F6F6F6"/>
          </w:tcPr>
          <w:p>
            <w:pPr>
              <w:jc w:val="right"/>
              <w:spacing w:after="0"/>
              <w:rPr>
                <w:sz w:val="20"/>
                <w:szCs w:val="20"/>
                <w:color w:val="auto"/>
              </w:rPr>
            </w:pPr>
            <w:r>
              <w:rPr>
                <w:rFonts w:ascii="Arial" w:cs="Arial" w:eastAsia="Arial" w:hAnsi="Arial"/>
                <w:sz w:val="18"/>
                <w:szCs w:val="18"/>
                <w:color w:val="auto"/>
              </w:rPr>
              <w:t>510,380</w:t>
            </w:r>
          </w:p>
        </w:tc>
        <w:tc>
          <w:tcPr>
            <w:tcW w:w="100" w:type="dxa"/>
            <w:vAlign w:val="bottom"/>
            <w:tcBorders>
              <w:bottom w:val="single" w:sz="8" w:color="F6F6F6"/>
            </w:tcBorders>
            <w:shd w:val="clear" w:color="auto" w:fill="F6F6F6"/>
          </w:tcPr>
          <w:p>
            <w:pPr>
              <w:spacing w:after="0"/>
              <w:rPr>
                <w:sz w:val="22"/>
                <w:szCs w:val="22"/>
                <w:color w:val="auto"/>
              </w:rPr>
            </w:pPr>
          </w:p>
        </w:tc>
        <w:tc>
          <w:tcPr>
            <w:tcW w:w="140" w:type="dxa"/>
            <w:vAlign w:val="bottom"/>
            <w:tcBorders>
              <w:bottom w:val="single" w:sz="8" w:color="F6F6F6"/>
            </w:tcBorders>
            <w:shd w:val="clear" w:color="auto" w:fill="F6F6F6"/>
          </w:tcPr>
          <w:p>
            <w:pPr>
              <w:spacing w:after="0"/>
              <w:rPr>
                <w:sz w:val="22"/>
                <w:szCs w:val="22"/>
                <w:color w:val="auto"/>
              </w:rPr>
            </w:pPr>
          </w:p>
        </w:tc>
        <w:tc>
          <w:tcPr>
            <w:tcW w:w="1920" w:type="dxa"/>
            <w:vAlign w:val="bottom"/>
            <w:tcBorders>
              <w:bottom w:val="single" w:sz="8" w:color="F6F6F6"/>
            </w:tcBorders>
            <w:shd w:val="clear" w:color="auto" w:fill="F6F6F6"/>
          </w:tcPr>
          <w:p>
            <w:pPr>
              <w:jc w:val="right"/>
              <w:spacing w:after="0"/>
              <w:rPr>
                <w:sz w:val="20"/>
                <w:szCs w:val="20"/>
                <w:color w:val="auto"/>
              </w:rPr>
            </w:pPr>
            <w:r>
              <w:rPr>
                <w:rFonts w:ascii="Arial" w:cs="Arial" w:eastAsia="Arial" w:hAnsi="Arial"/>
                <w:sz w:val="18"/>
                <w:szCs w:val="18"/>
                <w:color w:val="auto"/>
              </w:rPr>
              <w:t>544,522</w:t>
            </w:r>
          </w:p>
        </w:tc>
      </w:tr>
      <w:tr>
        <w:trPr>
          <w:trHeight w:val="257"/>
        </w:trPr>
        <w:tc>
          <w:tcPr>
            <w:tcW w:w="6940" w:type="dxa"/>
            <w:vAlign w:val="bottom"/>
            <w:tcBorders>
              <w:bottom w:val="single" w:sz="8" w:color="F6F6F6"/>
            </w:tcBorders>
          </w:tcPr>
          <w:p>
            <w:pPr>
              <w:ind w:left="520"/>
              <w:spacing w:after="0"/>
              <w:rPr>
                <w:sz w:val="20"/>
                <w:szCs w:val="20"/>
                <w:color w:val="auto"/>
              </w:rPr>
            </w:pPr>
            <w:r>
              <w:rPr>
                <w:rFonts w:ascii="Arial" w:cs="Arial" w:eastAsia="Arial" w:hAnsi="Arial"/>
                <w:sz w:val="18"/>
                <w:szCs w:val="18"/>
                <w:b w:val="1"/>
                <w:bCs w:val="1"/>
                <w:color w:val="auto"/>
              </w:rPr>
              <w:t>Total assets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5,843,267</w:t>
            </w:r>
          </w:p>
        </w:tc>
        <w:tc>
          <w:tcPr>
            <w:tcW w:w="100" w:type="dxa"/>
            <w:vAlign w:val="bottom"/>
            <w:tcBorders>
              <w:bottom w:val="single" w:sz="8" w:color="F6F6F6"/>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5,617,239</w:t>
            </w:r>
          </w:p>
        </w:tc>
      </w:tr>
      <w:tr>
        <w:trPr>
          <w:trHeight w:val="203"/>
        </w:trPr>
        <w:tc>
          <w:tcPr>
            <w:tcW w:w="6940" w:type="dxa"/>
            <w:vAlign w:val="bottom"/>
            <w:shd w:val="clear" w:color="auto" w:fill="F6F6F6"/>
          </w:tcPr>
          <w:p>
            <w:pPr>
              <w:spacing w:after="0"/>
              <w:rPr>
                <w:sz w:val="17"/>
                <w:szCs w:val="17"/>
                <w:color w:val="auto"/>
              </w:rPr>
            </w:pPr>
          </w:p>
        </w:tc>
        <w:tc>
          <w:tcPr>
            <w:tcW w:w="180" w:type="dxa"/>
            <w:vAlign w:val="bottom"/>
            <w:shd w:val="clear" w:color="auto" w:fill="F6F6F6"/>
          </w:tcPr>
          <w:p>
            <w:pPr>
              <w:spacing w:after="0"/>
              <w:rPr>
                <w:sz w:val="17"/>
                <w:szCs w:val="17"/>
                <w:color w:val="auto"/>
              </w:rPr>
            </w:pPr>
          </w:p>
        </w:tc>
        <w:tc>
          <w:tcPr>
            <w:tcW w:w="1960" w:type="dxa"/>
            <w:vAlign w:val="bottom"/>
            <w:shd w:val="clear" w:color="auto" w:fill="F6F6F6"/>
          </w:tcPr>
          <w:p>
            <w:pPr>
              <w:spacing w:after="0"/>
              <w:rPr>
                <w:sz w:val="17"/>
                <w:szCs w:val="17"/>
                <w:color w:val="auto"/>
              </w:rPr>
            </w:pPr>
          </w:p>
        </w:tc>
        <w:tc>
          <w:tcPr>
            <w:tcW w:w="100" w:type="dxa"/>
            <w:vAlign w:val="bottom"/>
            <w:shd w:val="clear" w:color="auto" w:fill="F6F6F6"/>
          </w:tcPr>
          <w:p>
            <w:pPr>
              <w:spacing w:after="0"/>
              <w:rPr>
                <w:sz w:val="17"/>
                <w:szCs w:val="17"/>
                <w:color w:val="auto"/>
              </w:rPr>
            </w:pPr>
          </w:p>
        </w:tc>
        <w:tc>
          <w:tcPr>
            <w:tcW w:w="140" w:type="dxa"/>
            <w:vAlign w:val="bottom"/>
            <w:shd w:val="clear" w:color="auto" w:fill="F6F6F6"/>
          </w:tcPr>
          <w:p>
            <w:pPr>
              <w:spacing w:after="0"/>
              <w:rPr>
                <w:sz w:val="17"/>
                <w:szCs w:val="17"/>
                <w:color w:val="auto"/>
              </w:rPr>
            </w:pPr>
          </w:p>
        </w:tc>
        <w:tc>
          <w:tcPr>
            <w:tcW w:w="1920" w:type="dxa"/>
            <w:vAlign w:val="bottom"/>
            <w:shd w:val="clear" w:color="auto" w:fill="F6F6F6"/>
          </w:tcPr>
          <w:p>
            <w:pPr>
              <w:spacing w:after="0"/>
              <w:rPr>
                <w:sz w:val="17"/>
                <w:szCs w:val="17"/>
                <w:color w:val="auto"/>
              </w:rPr>
            </w:pPr>
          </w:p>
        </w:tc>
      </w:tr>
      <w:tr>
        <w:trPr>
          <w:trHeight w:val="263"/>
        </w:trPr>
        <w:tc>
          <w:tcPr>
            <w:tcW w:w="6940" w:type="dxa"/>
            <w:vAlign w:val="bottom"/>
          </w:tcPr>
          <w:p>
            <w:pPr>
              <w:ind w:left="20"/>
              <w:spacing w:after="0"/>
              <w:rPr>
                <w:sz w:val="20"/>
                <w:szCs w:val="20"/>
                <w:color w:val="auto"/>
              </w:rPr>
            </w:pPr>
            <w:r>
              <w:rPr>
                <w:rFonts w:ascii="Arial" w:cs="Arial" w:eastAsia="Arial" w:hAnsi="Arial"/>
                <w:sz w:val="18"/>
                <w:szCs w:val="18"/>
                <w:b w:val="1"/>
                <w:bCs w:val="1"/>
                <w:color w:val="auto"/>
              </w:rPr>
              <w:t>Liabilities and equity</w:t>
            </w:r>
          </w:p>
        </w:tc>
        <w:tc>
          <w:tcPr>
            <w:tcW w:w="180" w:type="dxa"/>
            <w:vAlign w:val="bottom"/>
          </w:tcPr>
          <w:p>
            <w:pPr>
              <w:spacing w:after="0"/>
              <w:rPr>
                <w:sz w:val="22"/>
                <w:szCs w:val="22"/>
                <w:color w:val="auto"/>
              </w:rPr>
            </w:pPr>
          </w:p>
        </w:tc>
        <w:tc>
          <w:tcPr>
            <w:tcW w:w="1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920" w:type="dxa"/>
            <w:vAlign w:val="bottom"/>
          </w:tcPr>
          <w:p>
            <w:pPr>
              <w:spacing w:after="0"/>
              <w:rPr>
                <w:sz w:val="22"/>
                <w:szCs w:val="22"/>
                <w:color w:val="auto"/>
              </w:rPr>
            </w:pPr>
          </w:p>
        </w:tc>
      </w:tr>
      <w:tr>
        <w:trPr>
          <w:trHeight w:val="258"/>
        </w:trPr>
        <w:tc>
          <w:tcPr>
            <w:tcW w:w="6940" w:type="dxa"/>
            <w:vAlign w:val="bottom"/>
            <w:tcBorders>
              <w:bottom w:val="single" w:sz="8" w:color="F6F6F6"/>
            </w:tcBorders>
            <w:shd w:val="clear" w:color="auto" w:fill="F6F6F6"/>
          </w:tcPr>
          <w:p>
            <w:pPr>
              <w:ind w:left="20"/>
              <w:spacing w:after="0"/>
              <w:rPr>
                <w:sz w:val="20"/>
                <w:szCs w:val="20"/>
                <w:color w:val="auto"/>
              </w:rPr>
            </w:pPr>
            <w:r>
              <w:rPr>
                <w:rFonts w:ascii="Arial" w:cs="Arial" w:eastAsia="Arial" w:hAnsi="Arial"/>
                <w:sz w:val="18"/>
                <w:szCs w:val="18"/>
                <w:i w:val="1"/>
                <w:iCs w:val="1"/>
                <w:color w:val="auto"/>
              </w:rPr>
              <w:t>Current liabilities</w:t>
            </w:r>
          </w:p>
        </w:tc>
        <w:tc>
          <w:tcPr>
            <w:tcW w:w="180" w:type="dxa"/>
            <w:vAlign w:val="bottom"/>
            <w:tcBorders>
              <w:bottom w:val="single" w:sz="8" w:color="F6F6F6"/>
            </w:tcBorders>
            <w:shd w:val="clear" w:color="auto" w:fill="F6F6F6"/>
          </w:tcPr>
          <w:p>
            <w:pPr>
              <w:spacing w:after="0"/>
              <w:rPr>
                <w:sz w:val="22"/>
                <w:szCs w:val="22"/>
                <w:color w:val="auto"/>
              </w:rPr>
            </w:pPr>
          </w:p>
        </w:tc>
        <w:tc>
          <w:tcPr>
            <w:tcW w:w="1960" w:type="dxa"/>
            <w:vAlign w:val="bottom"/>
            <w:tcBorders>
              <w:bottom w:val="single" w:sz="8" w:color="F6F6F6"/>
            </w:tcBorders>
            <w:shd w:val="clear" w:color="auto" w:fill="F6F6F6"/>
          </w:tcPr>
          <w:p>
            <w:pPr>
              <w:spacing w:after="0"/>
              <w:rPr>
                <w:sz w:val="22"/>
                <w:szCs w:val="22"/>
                <w:color w:val="auto"/>
              </w:rPr>
            </w:pPr>
          </w:p>
        </w:tc>
        <w:tc>
          <w:tcPr>
            <w:tcW w:w="100" w:type="dxa"/>
            <w:vAlign w:val="bottom"/>
            <w:tcBorders>
              <w:bottom w:val="single" w:sz="8" w:color="F6F6F6"/>
            </w:tcBorders>
            <w:shd w:val="clear" w:color="auto" w:fill="F6F6F6"/>
          </w:tcPr>
          <w:p>
            <w:pPr>
              <w:spacing w:after="0"/>
              <w:rPr>
                <w:sz w:val="22"/>
                <w:szCs w:val="22"/>
                <w:color w:val="auto"/>
              </w:rPr>
            </w:pPr>
          </w:p>
        </w:tc>
        <w:tc>
          <w:tcPr>
            <w:tcW w:w="140" w:type="dxa"/>
            <w:vAlign w:val="bottom"/>
            <w:tcBorders>
              <w:bottom w:val="single" w:sz="8" w:color="F6F6F6"/>
            </w:tcBorders>
            <w:shd w:val="clear" w:color="auto" w:fill="F6F6F6"/>
          </w:tcPr>
          <w:p>
            <w:pPr>
              <w:spacing w:after="0"/>
              <w:rPr>
                <w:sz w:val="22"/>
                <w:szCs w:val="22"/>
                <w:color w:val="auto"/>
              </w:rPr>
            </w:pPr>
          </w:p>
        </w:tc>
        <w:tc>
          <w:tcPr>
            <w:tcW w:w="1920" w:type="dxa"/>
            <w:vAlign w:val="bottom"/>
            <w:tcBorders>
              <w:bottom w:val="single" w:sz="8" w:color="F6F6F6"/>
            </w:tcBorders>
            <w:shd w:val="clear" w:color="auto" w:fill="F6F6F6"/>
          </w:tcPr>
          <w:p>
            <w:pPr>
              <w:spacing w:after="0"/>
              <w:rPr>
                <w:sz w:val="22"/>
                <w:szCs w:val="22"/>
                <w:color w:val="auto"/>
              </w:rPr>
            </w:pPr>
          </w:p>
        </w:tc>
      </w:tr>
      <w:tr>
        <w:trPr>
          <w:trHeight w:val="247"/>
        </w:trPr>
        <w:tc>
          <w:tcPr>
            <w:tcW w:w="6940" w:type="dxa"/>
            <w:vAlign w:val="bottom"/>
          </w:tcPr>
          <w:p>
            <w:pPr>
              <w:ind w:left="520"/>
              <w:spacing w:after="0"/>
              <w:rPr>
                <w:sz w:val="20"/>
                <w:szCs w:val="20"/>
                <w:color w:val="auto"/>
              </w:rPr>
            </w:pPr>
            <w:r>
              <w:rPr>
                <w:rFonts w:ascii="Arial" w:cs="Arial" w:eastAsia="Arial" w:hAnsi="Arial"/>
                <w:sz w:val="18"/>
                <w:szCs w:val="18"/>
                <w:color w:val="auto"/>
              </w:rPr>
              <w:t>Current portion of long-term debt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960" w:type="dxa"/>
            <w:vAlign w:val="bottom"/>
          </w:tcPr>
          <w:p>
            <w:pPr>
              <w:jc w:val="right"/>
              <w:spacing w:after="0"/>
              <w:rPr>
                <w:sz w:val="20"/>
                <w:szCs w:val="20"/>
                <w:color w:val="auto"/>
              </w:rPr>
            </w:pPr>
            <w:r>
              <w:rPr>
                <w:rFonts w:ascii="Arial" w:cs="Arial" w:eastAsia="Arial" w:hAnsi="Arial"/>
                <w:sz w:val="18"/>
                <w:szCs w:val="18"/>
                <w:color w:val="auto"/>
              </w:rPr>
              <w:t>376,027</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920" w:type="dxa"/>
            <w:vAlign w:val="bottom"/>
          </w:tcPr>
          <w:p>
            <w:pPr>
              <w:jc w:val="right"/>
              <w:spacing w:after="0"/>
              <w:rPr>
                <w:sz w:val="20"/>
                <w:szCs w:val="20"/>
                <w:color w:val="auto"/>
              </w:rPr>
            </w:pPr>
            <w:r>
              <w:rPr>
                <w:rFonts w:ascii="Arial" w:cs="Arial" w:eastAsia="Arial" w:hAnsi="Arial"/>
                <w:sz w:val="18"/>
                <w:szCs w:val="18"/>
                <w:color w:val="auto"/>
              </w:rPr>
              <w:t>376,180</w:t>
            </w:r>
          </w:p>
        </w:tc>
      </w:tr>
      <w:tr>
        <w:trPr>
          <w:trHeight w:val="23"/>
        </w:trPr>
        <w:tc>
          <w:tcPr>
            <w:tcW w:w="6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6940" w:type="dxa"/>
            <w:vAlign w:val="bottom"/>
            <w:tcBorders>
              <w:bottom w:val="single" w:sz="8" w:color="F6F6F6"/>
            </w:tcBorders>
            <w:shd w:val="clear" w:color="auto" w:fill="F6F6F6"/>
          </w:tcPr>
          <w:p>
            <w:pPr>
              <w:ind w:left="520"/>
              <w:spacing w:after="0"/>
              <w:rPr>
                <w:sz w:val="20"/>
                <w:szCs w:val="20"/>
                <w:color w:val="auto"/>
              </w:rPr>
            </w:pPr>
            <w:r>
              <w:rPr>
                <w:rFonts w:ascii="Arial" w:cs="Arial" w:eastAsia="Arial" w:hAnsi="Arial"/>
                <w:sz w:val="18"/>
                <w:szCs w:val="18"/>
                <w:color w:val="auto"/>
              </w:rPr>
              <w:t>Accounts payable</w:t>
            </w:r>
          </w:p>
        </w:tc>
        <w:tc>
          <w:tcPr>
            <w:tcW w:w="180" w:type="dxa"/>
            <w:vAlign w:val="bottom"/>
            <w:tcBorders>
              <w:bottom w:val="single" w:sz="8" w:color="F6F6F6"/>
            </w:tcBorders>
            <w:shd w:val="clear" w:color="auto" w:fill="F6F6F6"/>
          </w:tcPr>
          <w:p>
            <w:pPr>
              <w:spacing w:after="0"/>
              <w:rPr>
                <w:sz w:val="21"/>
                <w:szCs w:val="21"/>
                <w:color w:val="auto"/>
              </w:rPr>
            </w:pPr>
          </w:p>
        </w:tc>
        <w:tc>
          <w:tcPr>
            <w:tcW w:w="1960" w:type="dxa"/>
            <w:vAlign w:val="bottom"/>
            <w:tcBorders>
              <w:bottom w:val="single" w:sz="8" w:color="F6F6F6"/>
            </w:tcBorders>
            <w:shd w:val="clear" w:color="auto" w:fill="F6F6F6"/>
          </w:tcPr>
          <w:p>
            <w:pPr>
              <w:jc w:val="right"/>
              <w:spacing w:after="0"/>
              <w:rPr>
                <w:sz w:val="20"/>
                <w:szCs w:val="20"/>
                <w:color w:val="auto"/>
              </w:rPr>
            </w:pPr>
            <w:r>
              <w:rPr>
                <w:rFonts w:ascii="Arial" w:cs="Arial" w:eastAsia="Arial" w:hAnsi="Arial"/>
                <w:sz w:val="18"/>
                <w:szCs w:val="18"/>
                <w:color w:val="auto"/>
              </w:rPr>
              <w:t>27,533</w:t>
            </w:r>
          </w:p>
        </w:tc>
        <w:tc>
          <w:tcPr>
            <w:tcW w:w="100" w:type="dxa"/>
            <w:vAlign w:val="bottom"/>
            <w:tcBorders>
              <w:bottom w:val="single" w:sz="8" w:color="F6F6F6"/>
            </w:tcBorders>
            <w:shd w:val="clear" w:color="auto" w:fill="F6F6F6"/>
          </w:tcPr>
          <w:p>
            <w:pPr>
              <w:spacing w:after="0"/>
              <w:rPr>
                <w:sz w:val="21"/>
                <w:szCs w:val="21"/>
                <w:color w:val="auto"/>
              </w:rPr>
            </w:pPr>
          </w:p>
        </w:tc>
        <w:tc>
          <w:tcPr>
            <w:tcW w:w="140" w:type="dxa"/>
            <w:vAlign w:val="bottom"/>
            <w:tcBorders>
              <w:bottom w:val="single" w:sz="8" w:color="F6F6F6"/>
            </w:tcBorders>
            <w:shd w:val="clear" w:color="auto" w:fill="F6F6F6"/>
          </w:tcPr>
          <w:p>
            <w:pPr>
              <w:spacing w:after="0"/>
              <w:rPr>
                <w:sz w:val="21"/>
                <w:szCs w:val="21"/>
                <w:color w:val="auto"/>
              </w:rPr>
            </w:pPr>
          </w:p>
        </w:tc>
        <w:tc>
          <w:tcPr>
            <w:tcW w:w="1920" w:type="dxa"/>
            <w:vAlign w:val="bottom"/>
            <w:tcBorders>
              <w:bottom w:val="single" w:sz="8" w:color="F6F6F6"/>
            </w:tcBorders>
            <w:shd w:val="clear" w:color="auto" w:fill="F6F6F6"/>
          </w:tcPr>
          <w:p>
            <w:pPr>
              <w:jc w:val="right"/>
              <w:spacing w:after="0"/>
              <w:rPr>
                <w:sz w:val="20"/>
                <w:szCs w:val="20"/>
                <w:color w:val="auto"/>
              </w:rPr>
            </w:pPr>
            <w:r>
              <w:rPr>
                <w:rFonts w:ascii="Arial" w:cs="Arial" w:eastAsia="Arial" w:hAnsi="Arial"/>
                <w:sz w:val="18"/>
                <w:szCs w:val="18"/>
                <w:color w:val="auto"/>
              </w:rPr>
              <w:t>26,231</w:t>
            </w:r>
          </w:p>
        </w:tc>
      </w:tr>
      <w:tr>
        <w:trPr>
          <w:trHeight w:val="247"/>
        </w:trPr>
        <w:tc>
          <w:tcPr>
            <w:tcW w:w="6940" w:type="dxa"/>
            <w:vAlign w:val="bottom"/>
          </w:tcPr>
          <w:p>
            <w:pPr>
              <w:ind w:left="520"/>
              <w:spacing w:after="0"/>
              <w:rPr>
                <w:sz w:val="20"/>
                <w:szCs w:val="20"/>
                <w:color w:val="auto"/>
              </w:rPr>
            </w:pPr>
            <w:r>
              <w:rPr>
                <w:rFonts w:ascii="Arial" w:cs="Arial" w:eastAsia="Arial" w:hAnsi="Arial"/>
                <w:sz w:val="18"/>
                <w:szCs w:val="18"/>
                <w:color w:val="auto"/>
              </w:rPr>
              <w:t>Income taxes payable</w:t>
            </w:r>
          </w:p>
        </w:tc>
        <w:tc>
          <w:tcPr>
            <w:tcW w:w="180" w:type="dxa"/>
            <w:vAlign w:val="bottom"/>
          </w:tcPr>
          <w:p>
            <w:pPr>
              <w:spacing w:after="0"/>
              <w:rPr>
                <w:sz w:val="21"/>
                <w:szCs w:val="21"/>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43,074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42,639</w:t>
            </w:r>
          </w:p>
        </w:tc>
      </w:tr>
      <w:tr>
        <w:trPr>
          <w:trHeight w:val="23"/>
        </w:trPr>
        <w:tc>
          <w:tcPr>
            <w:tcW w:w="6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6940" w:type="dxa"/>
            <w:vAlign w:val="bottom"/>
            <w:tcBorders>
              <w:bottom w:val="single" w:sz="8" w:color="F6F6F6"/>
            </w:tcBorders>
            <w:shd w:val="clear" w:color="auto" w:fill="F6F6F6"/>
          </w:tcPr>
          <w:p>
            <w:pPr>
              <w:ind w:left="520"/>
              <w:spacing w:after="0"/>
              <w:rPr>
                <w:sz w:val="20"/>
                <w:szCs w:val="20"/>
                <w:color w:val="auto"/>
              </w:rPr>
            </w:pPr>
            <w:r>
              <w:rPr>
                <w:rFonts w:ascii="Arial" w:cs="Arial" w:eastAsia="Arial" w:hAnsi="Arial"/>
                <w:sz w:val="18"/>
                <w:szCs w:val="18"/>
                <w:color w:val="auto"/>
              </w:rPr>
              <w:t>Accrued expenses and other current liabilities</w:t>
            </w:r>
          </w:p>
        </w:tc>
        <w:tc>
          <w:tcPr>
            <w:tcW w:w="180" w:type="dxa"/>
            <w:vAlign w:val="bottom"/>
            <w:tcBorders>
              <w:bottom w:val="single" w:sz="8" w:color="F6F6F6"/>
            </w:tcBorders>
            <w:shd w:val="clear" w:color="auto" w:fill="F6F6F6"/>
          </w:tcPr>
          <w:p>
            <w:pPr>
              <w:spacing w:after="0"/>
              <w:rPr>
                <w:sz w:val="21"/>
                <w:szCs w:val="21"/>
                <w:color w:val="auto"/>
              </w:rPr>
            </w:pPr>
          </w:p>
        </w:tc>
        <w:tc>
          <w:tcPr>
            <w:tcW w:w="1960" w:type="dxa"/>
            <w:vAlign w:val="bottom"/>
            <w:tcBorders>
              <w:bottom w:val="single" w:sz="8" w:color="F6F6F6"/>
            </w:tcBorders>
            <w:shd w:val="clear" w:color="auto" w:fill="F6F6F6"/>
          </w:tcPr>
          <w:p>
            <w:pPr>
              <w:jc w:val="right"/>
              <w:spacing w:after="0"/>
              <w:rPr>
                <w:sz w:val="20"/>
                <w:szCs w:val="20"/>
                <w:color w:val="auto"/>
              </w:rPr>
            </w:pPr>
            <w:r>
              <w:rPr>
                <w:rFonts w:ascii="Arial" w:cs="Arial" w:eastAsia="Arial" w:hAnsi="Arial"/>
                <w:sz w:val="18"/>
                <w:szCs w:val="18"/>
                <w:color w:val="auto"/>
              </w:rPr>
              <w:t>1,103,625</w:t>
            </w:r>
          </w:p>
        </w:tc>
        <w:tc>
          <w:tcPr>
            <w:tcW w:w="100" w:type="dxa"/>
            <w:vAlign w:val="bottom"/>
            <w:tcBorders>
              <w:bottom w:val="single" w:sz="8" w:color="F6F6F6"/>
            </w:tcBorders>
            <w:shd w:val="clear" w:color="auto" w:fill="F6F6F6"/>
          </w:tcPr>
          <w:p>
            <w:pPr>
              <w:spacing w:after="0"/>
              <w:rPr>
                <w:sz w:val="21"/>
                <w:szCs w:val="21"/>
                <w:color w:val="auto"/>
              </w:rPr>
            </w:pPr>
          </w:p>
        </w:tc>
        <w:tc>
          <w:tcPr>
            <w:tcW w:w="140" w:type="dxa"/>
            <w:vAlign w:val="bottom"/>
            <w:tcBorders>
              <w:bottom w:val="single" w:sz="8" w:color="F6F6F6"/>
            </w:tcBorders>
            <w:shd w:val="clear" w:color="auto" w:fill="F6F6F6"/>
          </w:tcPr>
          <w:p>
            <w:pPr>
              <w:spacing w:after="0"/>
              <w:rPr>
                <w:sz w:val="21"/>
                <w:szCs w:val="21"/>
                <w:color w:val="auto"/>
              </w:rPr>
            </w:pPr>
          </w:p>
        </w:tc>
        <w:tc>
          <w:tcPr>
            <w:tcW w:w="1920" w:type="dxa"/>
            <w:vAlign w:val="bottom"/>
            <w:tcBorders>
              <w:bottom w:val="single" w:sz="8" w:color="F6F6F6"/>
            </w:tcBorders>
            <w:shd w:val="clear" w:color="auto" w:fill="F6F6F6"/>
          </w:tcPr>
          <w:p>
            <w:pPr>
              <w:jc w:val="right"/>
              <w:spacing w:after="0"/>
              <w:rPr>
                <w:sz w:val="20"/>
                <w:szCs w:val="20"/>
                <w:color w:val="auto"/>
              </w:rPr>
            </w:pPr>
            <w:r>
              <w:rPr>
                <w:rFonts w:ascii="Arial" w:cs="Arial" w:eastAsia="Arial" w:hAnsi="Arial"/>
                <w:sz w:val="18"/>
                <w:szCs w:val="18"/>
                <w:color w:val="auto"/>
              </w:rPr>
              <w:t>926,419</w:t>
            </w:r>
          </w:p>
        </w:tc>
      </w:tr>
      <w:tr>
        <w:trPr>
          <w:trHeight w:val="247"/>
        </w:trPr>
        <w:tc>
          <w:tcPr>
            <w:tcW w:w="6940" w:type="dxa"/>
            <w:vAlign w:val="bottom"/>
          </w:tcPr>
          <w:p>
            <w:pPr>
              <w:ind w:left="520"/>
              <w:spacing w:after="0"/>
              <w:rPr>
                <w:sz w:val="20"/>
                <w:szCs w:val="20"/>
                <w:color w:val="auto"/>
              </w:rPr>
            </w:pPr>
            <w:r>
              <w:rPr>
                <w:rFonts w:ascii="Arial" w:cs="Arial" w:eastAsia="Arial" w:hAnsi="Arial"/>
                <w:sz w:val="18"/>
                <w:szCs w:val="18"/>
                <w:color w:val="auto"/>
              </w:rPr>
              <w:t>Operating lease liabilities</w:t>
            </w:r>
          </w:p>
        </w:tc>
        <w:tc>
          <w:tcPr>
            <w:tcW w:w="180" w:type="dxa"/>
            <w:vAlign w:val="bottom"/>
          </w:tcPr>
          <w:p>
            <w:pPr>
              <w:spacing w:after="0"/>
              <w:rPr>
                <w:sz w:val="21"/>
                <w:szCs w:val="21"/>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52,221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54,789</w:t>
            </w:r>
          </w:p>
        </w:tc>
      </w:tr>
      <w:tr>
        <w:trPr>
          <w:trHeight w:val="23"/>
        </w:trPr>
        <w:tc>
          <w:tcPr>
            <w:tcW w:w="6940" w:type="dxa"/>
            <w:vAlign w:val="bottom"/>
            <w:tcBorders>
              <w:bottom w:val="single" w:sz="8" w:color="F6F6F6"/>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00" w:type="dxa"/>
            <w:vAlign w:val="bottom"/>
            <w:tcBorders>
              <w:bottom w:val="single" w:sz="8" w:color="F6F6F6"/>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64"/>
        </w:trPr>
        <w:tc>
          <w:tcPr>
            <w:tcW w:w="6940" w:type="dxa"/>
            <w:vAlign w:val="bottom"/>
            <w:shd w:val="clear" w:color="auto" w:fill="F6F6F6"/>
          </w:tcPr>
          <w:p>
            <w:pPr>
              <w:ind w:left="520"/>
              <w:spacing w:after="0"/>
              <w:rPr>
                <w:sz w:val="20"/>
                <w:szCs w:val="20"/>
                <w:color w:val="auto"/>
              </w:rPr>
            </w:pPr>
            <w:r>
              <w:rPr>
                <w:rFonts w:ascii="Arial" w:cs="Arial" w:eastAsia="Arial" w:hAnsi="Arial"/>
                <w:sz w:val="18"/>
                <w:szCs w:val="18"/>
                <w:b w:val="1"/>
                <w:bCs w:val="1"/>
                <w:color w:val="auto"/>
              </w:rPr>
              <w:t>Total current liabilities</w:t>
            </w:r>
          </w:p>
        </w:tc>
        <w:tc>
          <w:tcPr>
            <w:tcW w:w="180" w:type="dxa"/>
            <w:vAlign w:val="bottom"/>
            <w:shd w:val="clear" w:color="auto" w:fill="F6F6F6"/>
          </w:tcPr>
          <w:p>
            <w:pPr>
              <w:jc w:val="right"/>
              <w:spacing w:after="0"/>
              <w:rPr>
                <w:sz w:val="20"/>
                <w:szCs w:val="20"/>
                <w:color w:val="auto"/>
              </w:rPr>
            </w:pPr>
            <w:r>
              <w:rPr>
                <w:rFonts w:ascii="Arial" w:cs="Arial" w:eastAsia="Arial" w:hAnsi="Arial"/>
                <w:sz w:val="18"/>
                <w:szCs w:val="18"/>
                <w:b w:val="1"/>
                <w:bCs w:val="1"/>
                <w:color w:val="auto"/>
                <w:w w:val="99"/>
              </w:rPr>
              <w:t>$</w:t>
            </w:r>
          </w:p>
        </w:tc>
        <w:tc>
          <w:tcPr>
            <w:tcW w:w="1960" w:type="dxa"/>
            <w:vAlign w:val="bottom"/>
            <w:shd w:val="clear" w:color="auto" w:fill="F6F6F6"/>
          </w:tcPr>
          <w:p>
            <w:pPr>
              <w:jc w:val="right"/>
              <w:spacing w:after="0"/>
              <w:rPr>
                <w:sz w:val="20"/>
                <w:szCs w:val="20"/>
                <w:color w:val="auto"/>
              </w:rPr>
            </w:pPr>
            <w:r>
              <w:rPr>
                <w:rFonts w:ascii="Arial" w:cs="Arial" w:eastAsia="Arial" w:hAnsi="Arial"/>
                <w:sz w:val="18"/>
                <w:szCs w:val="18"/>
                <w:b w:val="1"/>
                <w:bCs w:val="1"/>
                <w:color w:val="auto"/>
              </w:rPr>
              <w:t>1,602,480</w:t>
            </w:r>
          </w:p>
        </w:tc>
        <w:tc>
          <w:tcPr>
            <w:tcW w:w="100" w:type="dxa"/>
            <w:vAlign w:val="bottom"/>
            <w:shd w:val="clear" w:color="auto" w:fill="F6F6F6"/>
          </w:tcPr>
          <w:p>
            <w:pPr>
              <w:spacing w:after="0"/>
              <w:rPr>
                <w:sz w:val="22"/>
                <w:szCs w:val="22"/>
                <w:color w:val="auto"/>
              </w:rPr>
            </w:pPr>
          </w:p>
        </w:tc>
        <w:tc>
          <w:tcPr>
            <w:tcW w:w="140" w:type="dxa"/>
            <w:vAlign w:val="bottom"/>
            <w:shd w:val="clear" w:color="auto" w:fill="F6F6F6"/>
          </w:tcPr>
          <w:p>
            <w:pPr>
              <w:jc w:val="right"/>
              <w:spacing w:after="0"/>
              <w:rPr>
                <w:sz w:val="20"/>
                <w:szCs w:val="20"/>
                <w:color w:val="auto"/>
              </w:rPr>
            </w:pPr>
            <w:r>
              <w:rPr>
                <w:rFonts w:ascii="Arial" w:cs="Arial" w:eastAsia="Arial" w:hAnsi="Arial"/>
                <w:sz w:val="18"/>
                <w:szCs w:val="18"/>
                <w:b w:val="1"/>
                <w:bCs w:val="1"/>
                <w:color w:val="auto"/>
                <w:w w:val="99"/>
              </w:rPr>
              <w:t>$</w:t>
            </w:r>
          </w:p>
        </w:tc>
        <w:tc>
          <w:tcPr>
            <w:tcW w:w="1920" w:type="dxa"/>
            <w:vAlign w:val="bottom"/>
            <w:shd w:val="clear" w:color="auto" w:fill="F6F6F6"/>
          </w:tcPr>
          <w:p>
            <w:pPr>
              <w:jc w:val="right"/>
              <w:spacing w:after="0"/>
              <w:rPr>
                <w:sz w:val="20"/>
                <w:szCs w:val="20"/>
                <w:color w:val="auto"/>
              </w:rPr>
            </w:pPr>
            <w:r>
              <w:rPr>
                <w:rFonts w:ascii="Arial" w:cs="Arial" w:eastAsia="Arial" w:hAnsi="Arial"/>
                <w:sz w:val="18"/>
                <w:szCs w:val="18"/>
                <w:b w:val="1"/>
                <w:bCs w:val="1"/>
                <w:color w:val="auto"/>
              </w:rPr>
              <w:t>1,426,258</w:t>
            </w:r>
          </w:p>
        </w:tc>
      </w:tr>
      <w:tr>
        <w:trPr>
          <w:trHeight w:val="216"/>
        </w:trPr>
        <w:tc>
          <w:tcPr>
            <w:tcW w:w="6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20" w:type="dxa"/>
            <w:vAlign w:val="bottom"/>
          </w:tcPr>
          <w:p>
            <w:pPr>
              <w:spacing w:after="0"/>
              <w:rPr>
                <w:sz w:val="18"/>
                <w:szCs w:val="18"/>
                <w:color w:val="auto"/>
              </w:rPr>
            </w:pPr>
          </w:p>
        </w:tc>
      </w:tr>
      <w:tr>
        <w:trPr>
          <w:trHeight w:val="250"/>
        </w:trPr>
        <w:tc>
          <w:tcPr>
            <w:tcW w:w="6940" w:type="dxa"/>
            <w:vAlign w:val="bottom"/>
            <w:tcBorders>
              <w:bottom w:val="single" w:sz="8" w:color="F6F6F6"/>
            </w:tcBorders>
            <w:shd w:val="clear" w:color="auto" w:fill="F6F6F6"/>
          </w:tcPr>
          <w:p>
            <w:pPr>
              <w:ind w:left="20"/>
              <w:spacing w:after="0"/>
              <w:rPr>
                <w:sz w:val="20"/>
                <w:szCs w:val="20"/>
                <w:color w:val="auto"/>
              </w:rPr>
            </w:pPr>
            <w:r>
              <w:rPr>
                <w:rFonts w:ascii="Arial" w:cs="Arial" w:eastAsia="Arial" w:hAnsi="Arial"/>
                <w:sz w:val="18"/>
                <w:szCs w:val="18"/>
                <w:color w:val="auto"/>
              </w:rPr>
              <w:t>Long-term debt, less current portion</w:t>
            </w:r>
          </w:p>
        </w:tc>
        <w:tc>
          <w:tcPr>
            <w:tcW w:w="180" w:type="dxa"/>
            <w:vAlign w:val="bottom"/>
            <w:tcBorders>
              <w:bottom w:val="single" w:sz="8" w:color="F6F6F6"/>
            </w:tcBorders>
            <w:shd w:val="clear" w:color="auto" w:fill="F6F6F6"/>
          </w:tcPr>
          <w:p>
            <w:pPr>
              <w:spacing w:after="0"/>
              <w:rPr>
                <w:sz w:val="21"/>
                <w:szCs w:val="21"/>
                <w:color w:val="auto"/>
              </w:rPr>
            </w:pPr>
          </w:p>
        </w:tc>
        <w:tc>
          <w:tcPr>
            <w:tcW w:w="1960" w:type="dxa"/>
            <w:vAlign w:val="bottom"/>
            <w:tcBorders>
              <w:bottom w:val="single" w:sz="8" w:color="F6F6F6"/>
            </w:tcBorders>
            <w:shd w:val="clear" w:color="auto" w:fill="F6F6F6"/>
          </w:tcPr>
          <w:p>
            <w:pPr>
              <w:jc w:val="right"/>
              <w:spacing w:after="0"/>
              <w:rPr>
                <w:sz w:val="20"/>
                <w:szCs w:val="20"/>
                <w:color w:val="auto"/>
              </w:rPr>
            </w:pPr>
            <w:r>
              <w:rPr>
                <w:rFonts w:ascii="Arial" w:cs="Arial" w:eastAsia="Arial" w:hAnsi="Arial"/>
                <w:sz w:val="18"/>
                <w:szCs w:val="18"/>
                <w:color w:val="auto"/>
              </w:rPr>
              <w:t>1,166,274</w:t>
            </w:r>
          </w:p>
        </w:tc>
        <w:tc>
          <w:tcPr>
            <w:tcW w:w="100" w:type="dxa"/>
            <w:vAlign w:val="bottom"/>
            <w:tcBorders>
              <w:bottom w:val="single" w:sz="8" w:color="F6F6F6"/>
            </w:tcBorders>
            <w:shd w:val="clear" w:color="auto" w:fill="F6F6F6"/>
          </w:tcPr>
          <w:p>
            <w:pPr>
              <w:spacing w:after="0"/>
              <w:rPr>
                <w:sz w:val="21"/>
                <w:szCs w:val="21"/>
                <w:color w:val="auto"/>
              </w:rPr>
            </w:pPr>
          </w:p>
        </w:tc>
        <w:tc>
          <w:tcPr>
            <w:tcW w:w="140" w:type="dxa"/>
            <w:vAlign w:val="bottom"/>
            <w:tcBorders>
              <w:bottom w:val="single" w:sz="8" w:color="F6F6F6"/>
            </w:tcBorders>
            <w:shd w:val="clear" w:color="auto" w:fill="F6F6F6"/>
          </w:tcPr>
          <w:p>
            <w:pPr>
              <w:spacing w:after="0"/>
              <w:rPr>
                <w:sz w:val="21"/>
                <w:szCs w:val="21"/>
                <w:color w:val="auto"/>
              </w:rPr>
            </w:pPr>
          </w:p>
        </w:tc>
        <w:tc>
          <w:tcPr>
            <w:tcW w:w="1920" w:type="dxa"/>
            <w:vAlign w:val="bottom"/>
            <w:tcBorders>
              <w:bottom w:val="single" w:sz="8" w:color="F6F6F6"/>
            </w:tcBorders>
            <w:shd w:val="clear" w:color="auto" w:fill="F6F6F6"/>
          </w:tcPr>
          <w:p>
            <w:pPr>
              <w:jc w:val="right"/>
              <w:spacing w:after="0"/>
              <w:rPr>
                <w:sz w:val="20"/>
                <w:szCs w:val="20"/>
                <w:color w:val="auto"/>
              </w:rPr>
            </w:pPr>
            <w:r>
              <w:rPr>
                <w:rFonts w:ascii="Arial" w:cs="Arial" w:eastAsia="Arial" w:hAnsi="Arial"/>
                <w:sz w:val="18"/>
                <w:szCs w:val="18"/>
                <w:color w:val="auto"/>
              </w:rPr>
              <w:t>1,160,163</w:t>
            </w:r>
          </w:p>
        </w:tc>
      </w:tr>
      <w:tr>
        <w:trPr>
          <w:trHeight w:val="247"/>
        </w:trPr>
        <w:tc>
          <w:tcPr>
            <w:tcW w:w="6940" w:type="dxa"/>
            <w:vAlign w:val="bottom"/>
          </w:tcPr>
          <w:p>
            <w:pPr>
              <w:ind w:left="20"/>
              <w:spacing w:after="0"/>
              <w:rPr>
                <w:sz w:val="20"/>
                <w:szCs w:val="20"/>
                <w:color w:val="auto"/>
              </w:rPr>
            </w:pPr>
            <w:r>
              <w:rPr>
                <w:rFonts w:ascii="Arial" w:cs="Arial" w:eastAsia="Arial" w:hAnsi="Arial"/>
                <w:sz w:val="18"/>
                <w:szCs w:val="18"/>
                <w:color w:val="auto"/>
              </w:rPr>
              <w:t>Operating lease liabilities</w:t>
            </w:r>
          </w:p>
        </w:tc>
        <w:tc>
          <w:tcPr>
            <w:tcW w:w="180" w:type="dxa"/>
            <w:vAlign w:val="bottom"/>
          </w:tcPr>
          <w:p>
            <w:pPr>
              <w:spacing w:after="0"/>
              <w:rPr>
                <w:sz w:val="21"/>
                <w:szCs w:val="21"/>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150,667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149,708</w:t>
            </w:r>
          </w:p>
        </w:tc>
      </w:tr>
      <w:tr>
        <w:trPr>
          <w:trHeight w:val="23"/>
        </w:trPr>
        <w:tc>
          <w:tcPr>
            <w:tcW w:w="6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6940" w:type="dxa"/>
            <w:vAlign w:val="bottom"/>
            <w:tcBorders>
              <w:bottom w:val="single" w:sz="8" w:color="F6F6F6"/>
            </w:tcBorders>
            <w:shd w:val="clear" w:color="auto" w:fill="F6F6F6"/>
          </w:tcPr>
          <w:p>
            <w:pPr>
              <w:ind w:left="20"/>
              <w:spacing w:after="0"/>
              <w:rPr>
                <w:sz w:val="20"/>
                <w:szCs w:val="20"/>
                <w:color w:val="auto"/>
              </w:rPr>
            </w:pPr>
            <w:r>
              <w:rPr>
                <w:rFonts w:ascii="Arial" w:cs="Arial" w:eastAsia="Arial" w:hAnsi="Arial"/>
                <w:sz w:val="18"/>
                <w:szCs w:val="18"/>
                <w:color w:val="auto"/>
              </w:rPr>
              <w:t>Deferred tax liabilities</w:t>
            </w:r>
          </w:p>
        </w:tc>
        <w:tc>
          <w:tcPr>
            <w:tcW w:w="180" w:type="dxa"/>
            <w:vAlign w:val="bottom"/>
            <w:tcBorders>
              <w:bottom w:val="single" w:sz="8" w:color="F6F6F6"/>
            </w:tcBorders>
            <w:shd w:val="clear" w:color="auto" w:fill="F6F6F6"/>
          </w:tcPr>
          <w:p>
            <w:pPr>
              <w:spacing w:after="0"/>
              <w:rPr>
                <w:sz w:val="21"/>
                <w:szCs w:val="21"/>
                <w:color w:val="auto"/>
              </w:rPr>
            </w:pPr>
          </w:p>
        </w:tc>
        <w:tc>
          <w:tcPr>
            <w:tcW w:w="1960" w:type="dxa"/>
            <w:vAlign w:val="bottom"/>
            <w:tcBorders>
              <w:bottom w:val="single" w:sz="8" w:color="F6F6F6"/>
            </w:tcBorders>
            <w:shd w:val="clear" w:color="auto" w:fill="F6F6F6"/>
          </w:tcPr>
          <w:p>
            <w:pPr>
              <w:jc w:val="right"/>
              <w:spacing w:after="0"/>
              <w:rPr>
                <w:sz w:val="20"/>
                <w:szCs w:val="20"/>
                <w:color w:val="auto"/>
              </w:rPr>
            </w:pPr>
            <w:r>
              <w:rPr>
                <w:rFonts w:ascii="Arial" w:cs="Arial" w:eastAsia="Arial" w:hAnsi="Arial"/>
                <w:sz w:val="18"/>
                <w:szCs w:val="18"/>
                <w:color w:val="auto"/>
              </w:rPr>
              <w:t>21,081</w:t>
            </w:r>
          </w:p>
        </w:tc>
        <w:tc>
          <w:tcPr>
            <w:tcW w:w="100" w:type="dxa"/>
            <w:vAlign w:val="bottom"/>
            <w:tcBorders>
              <w:bottom w:val="single" w:sz="8" w:color="F6F6F6"/>
            </w:tcBorders>
            <w:shd w:val="clear" w:color="auto" w:fill="F6F6F6"/>
          </w:tcPr>
          <w:p>
            <w:pPr>
              <w:spacing w:after="0"/>
              <w:rPr>
                <w:sz w:val="21"/>
                <w:szCs w:val="21"/>
                <w:color w:val="auto"/>
              </w:rPr>
            </w:pPr>
          </w:p>
        </w:tc>
        <w:tc>
          <w:tcPr>
            <w:tcW w:w="140" w:type="dxa"/>
            <w:vAlign w:val="bottom"/>
            <w:tcBorders>
              <w:bottom w:val="single" w:sz="8" w:color="F6F6F6"/>
            </w:tcBorders>
            <w:shd w:val="clear" w:color="auto" w:fill="F6F6F6"/>
          </w:tcPr>
          <w:p>
            <w:pPr>
              <w:spacing w:after="0"/>
              <w:rPr>
                <w:sz w:val="21"/>
                <w:szCs w:val="21"/>
                <w:color w:val="auto"/>
              </w:rPr>
            </w:pPr>
          </w:p>
        </w:tc>
        <w:tc>
          <w:tcPr>
            <w:tcW w:w="1920" w:type="dxa"/>
            <w:vAlign w:val="bottom"/>
            <w:tcBorders>
              <w:bottom w:val="single" w:sz="8" w:color="F6F6F6"/>
            </w:tcBorders>
            <w:shd w:val="clear" w:color="auto" w:fill="F6F6F6"/>
          </w:tcPr>
          <w:p>
            <w:pPr>
              <w:jc w:val="right"/>
              <w:spacing w:after="0"/>
              <w:rPr>
                <w:sz w:val="20"/>
                <w:szCs w:val="20"/>
                <w:color w:val="auto"/>
              </w:rPr>
            </w:pPr>
            <w:r>
              <w:rPr>
                <w:rFonts w:ascii="Arial" w:cs="Arial" w:eastAsia="Arial" w:hAnsi="Arial"/>
                <w:sz w:val="18"/>
                <w:szCs w:val="18"/>
                <w:color w:val="auto"/>
              </w:rPr>
              <w:t>21,385</w:t>
            </w:r>
          </w:p>
        </w:tc>
      </w:tr>
      <w:tr>
        <w:trPr>
          <w:trHeight w:val="247"/>
        </w:trPr>
        <w:tc>
          <w:tcPr>
            <w:tcW w:w="6940" w:type="dxa"/>
            <w:vAlign w:val="bottom"/>
          </w:tcPr>
          <w:p>
            <w:pPr>
              <w:ind w:left="20"/>
              <w:spacing w:after="0"/>
              <w:rPr>
                <w:sz w:val="20"/>
                <w:szCs w:val="20"/>
                <w:color w:val="auto"/>
              </w:rPr>
            </w:pPr>
            <w:r>
              <w:rPr>
                <w:rFonts w:ascii="Arial" w:cs="Arial" w:eastAsia="Arial" w:hAnsi="Arial"/>
                <w:sz w:val="18"/>
                <w:szCs w:val="18"/>
                <w:color w:val="auto"/>
              </w:rPr>
              <w:t>Other liabilities</w:t>
            </w:r>
          </w:p>
        </w:tc>
        <w:tc>
          <w:tcPr>
            <w:tcW w:w="180" w:type="dxa"/>
            <w:vAlign w:val="bottom"/>
          </w:tcPr>
          <w:p>
            <w:pPr>
              <w:spacing w:after="0"/>
              <w:rPr>
                <w:sz w:val="21"/>
                <w:szCs w:val="21"/>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353,364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384,532</w:t>
            </w:r>
          </w:p>
        </w:tc>
      </w:tr>
      <w:tr>
        <w:trPr>
          <w:trHeight w:val="23"/>
        </w:trPr>
        <w:tc>
          <w:tcPr>
            <w:tcW w:w="6940" w:type="dxa"/>
            <w:vAlign w:val="bottom"/>
            <w:tcBorders>
              <w:bottom w:val="single" w:sz="8" w:color="F6F6F6"/>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00" w:type="dxa"/>
            <w:vAlign w:val="bottom"/>
            <w:tcBorders>
              <w:bottom w:val="single" w:sz="8" w:color="F6F6F6"/>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57"/>
        </w:trPr>
        <w:tc>
          <w:tcPr>
            <w:tcW w:w="6940" w:type="dxa"/>
            <w:vAlign w:val="bottom"/>
            <w:shd w:val="clear" w:color="auto" w:fill="F6F6F6"/>
          </w:tcPr>
          <w:p>
            <w:pPr>
              <w:ind w:left="520"/>
              <w:spacing w:after="0"/>
              <w:rPr>
                <w:sz w:val="20"/>
                <w:szCs w:val="20"/>
                <w:color w:val="auto"/>
              </w:rPr>
            </w:pPr>
            <w:r>
              <w:rPr>
                <w:rFonts w:ascii="Arial" w:cs="Arial" w:eastAsia="Arial" w:hAnsi="Arial"/>
                <w:sz w:val="18"/>
                <w:szCs w:val="18"/>
                <w:b w:val="1"/>
                <w:bCs w:val="1"/>
                <w:color w:val="auto"/>
              </w:rPr>
              <w:t>Total liabilities</w:t>
            </w:r>
          </w:p>
        </w:tc>
        <w:tc>
          <w:tcPr>
            <w:tcW w:w="180" w:type="dxa"/>
            <w:vAlign w:val="bottom"/>
            <w:tcBorders>
              <w:bottom w:val="single" w:sz="8" w:color="auto"/>
            </w:tcBorders>
            <w:shd w:val="clear" w:color="auto" w:fill="F6F6F6"/>
          </w:tcPr>
          <w:p>
            <w:pPr>
              <w:jc w:val="right"/>
              <w:spacing w:after="0"/>
              <w:rPr>
                <w:sz w:val="20"/>
                <w:szCs w:val="20"/>
                <w:color w:val="auto"/>
              </w:rPr>
            </w:pPr>
            <w:r>
              <w:rPr>
                <w:rFonts w:ascii="Arial" w:cs="Arial" w:eastAsia="Arial" w:hAnsi="Arial"/>
                <w:sz w:val="18"/>
                <w:szCs w:val="18"/>
                <w:b w:val="1"/>
                <w:bCs w:val="1"/>
                <w:color w:val="auto"/>
                <w:w w:val="99"/>
              </w:rPr>
              <w:t>$</w:t>
            </w:r>
          </w:p>
        </w:tc>
        <w:tc>
          <w:tcPr>
            <w:tcW w:w="1960" w:type="dxa"/>
            <w:vAlign w:val="bottom"/>
            <w:tcBorders>
              <w:bottom w:val="single" w:sz="8" w:color="auto"/>
            </w:tcBorders>
            <w:shd w:val="clear" w:color="auto" w:fill="F6F6F6"/>
          </w:tcPr>
          <w:p>
            <w:pPr>
              <w:jc w:val="right"/>
              <w:spacing w:after="0"/>
              <w:rPr>
                <w:sz w:val="20"/>
                <w:szCs w:val="20"/>
                <w:color w:val="auto"/>
              </w:rPr>
            </w:pPr>
            <w:r>
              <w:rPr>
                <w:rFonts w:ascii="Arial" w:cs="Arial" w:eastAsia="Arial" w:hAnsi="Arial"/>
                <w:sz w:val="18"/>
                <w:szCs w:val="18"/>
                <w:b w:val="1"/>
                <w:bCs w:val="1"/>
                <w:color w:val="auto"/>
              </w:rPr>
              <w:t>3,293,866</w:t>
            </w:r>
          </w:p>
        </w:tc>
        <w:tc>
          <w:tcPr>
            <w:tcW w:w="100" w:type="dxa"/>
            <w:vAlign w:val="bottom"/>
            <w:shd w:val="clear" w:color="auto" w:fill="F6F6F6"/>
          </w:tcPr>
          <w:p>
            <w:pPr>
              <w:spacing w:after="0"/>
              <w:rPr>
                <w:sz w:val="22"/>
                <w:szCs w:val="22"/>
                <w:color w:val="auto"/>
              </w:rPr>
            </w:pPr>
          </w:p>
        </w:tc>
        <w:tc>
          <w:tcPr>
            <w:tcW w:w="140" w:type="dxa"/>
            <w:vAlign w:val="bottom"/>
            <w:tcBorders>
              <w:bottom w:val="single" w:sz="8" w:color="auto"/>
            </w:tcBorders>
            <w:shd w:val="clear" w:color="auto" w:fill="F6F6F6"/>
          </w:tcPr>
          <w:p>
            <w:pPr>
              <w:jc w:val="right"/>
              <w:spacing w:after="0"/>
              <w:rPr>
                <w:sz w:val="20"/>
                <w:szCs w:val="20"/>
                <w:color w:val="auto"/>
              </w:rPr>
            </w:pPr>
            <w:r>
              <w:rPr>
                <w:rFonts w:ascii="Arial" w:cs="Arial" w:eastAsia="Arial" w:hAnsi="Arial"/>
                <w:sz w:val="18"/>
                <w:szCs w:val="18"/>
                <w:b w:val="1"/>
                <w:bCs w:val="1"/>
                <w:color w:val="auto"/>
                <w:w w:val="99"/>
              </w:rPr>
              <w:t>$</w:t>
            </w:r>
          </w:p>
        </w:tc>
        <w:tc>
          <w:tcPr>
            <w:tcW w:w="1920" w:type="dxa"/>
            <w:vAlign w:val="bottom"/>
            <w:tcBorders>
              <w:bottom w:val="single" w:sz="8" w:color="auto"/>
            </w:tcBorders>
            <w:shd w:val="clear" w:color="auto" w:fill="F6F6F6"/>
          </w:tcPr>
          <w:p>
            <w:pPr>
              <w:jc w:val="right"/>
              <w:spacing w:after="0"/>
              <w:rPr>
                <w:sz w:val="20"/>
                <w:szCs w:val="20"/>
                <w:color w:val="auto"/>
              </w:rPr>
            </w:pPr>
            <w:r>
              <w:rPr>
                <w:rFonts w:ascii="Arial" w:cs="Arial" w:eastAsia="Arial" w:hAnsi="Arial"/>
                <w:sz w:val="18"/>
                <w:szCs w:val="18"/>
                <w:b w:val="1"/>
                <w:bCs w:val="1"/>
                <w:color w:val="auto"/>
              </w:rPr>
              <w:t>3,142,046</w:t>
            </w:r>
          </w:p>
        </w:tc>
      </w:tr>
      <w:tr>
        <w:trPr>
          <w:trHeight w:val="203"/>
        </w:trPr>
        <w:tc>
          <w:tcPr>
            <w:tcW w:w="6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20" w:type="dxa"/>
            <w:vAlign w:val="bottom"/>
          </w:tcPr>
          <w:p>
            <w:pPr>
              <w:spacing w:after="0"/>
              <w:rPr>
                <w:sz w:val="17"/>
                <w:szCs w:val="17"/>
                <w:color w:val="auto"/>
              </w:rPr>
            </w:pPr>
          </w:p>
        </w:tc>
      </w:tr>
      <w:tr>
        <w:trPr>
          <w:trHeight w:val="270"/>
        </w:trPr>
        <w:tc>
          <w:tcPr>
            <w:tcW w:w="6940" w:type="dxa"/>
            <w:vAlign w:val="bottom"/>
            <w:shd w:val="clear" w:color="auto" w:fill="F6F6F6"/>
          </w:tcPr>
          <w:p>
            <w:pPr>
              <w:ind w:left="20"/>
              <w:spacing w:after="0"/>
              <w:rPr>
                <w:sz w:val="20"/>
                <w:szCs w:val="20"/>
                <w:color w:val="auto"/>
              </w:rPr>
            </w:pPr>
            <w:r>
              <w:rPr>
                <w:rFonts w:ascii="Arial" w:cs="Arial" w:eastAsia="Arial" w:hAnsi="Arial"/>
                <w:sz w:val="18"/>
                <w:szCs w:val="18"/>
                <w:b w:val="1"/>
                <w:bCs w:val="1"/>
                <w:color w:val="auto"/>
              </w:rPr>
              <w:t>Shareholders' equity</w:t>
            </w:r>
          </w:p>
        </w:tc>
        <w:tc>
          <w:tcPr>
            <w:tcW w:w="180" w:type="dxa"/>
            <w:vAlign w:val="bottom"/>
            <w:shd w:val="clear" w:color="auto" w:fill="F6F6F6"/>
          </w:tcPr>
          <w:p>
            <w:pPr>
              <w:spacing w:after="0"/>
              <w:rPr>
                <w:sz w:val="23"/>
                <w:szCs w:val="23"/>
                <w:color w:val="auto"/>
              </w:rPr>
            </w:pPr>
          </w:p>
        </w:tc>
        <w:tc>
          <w:tcPr>
            <w:tcW w:w="1960" w:type="dxa"/>
            <w:vAlign w:val="bottom"/>
            <w:shd w:val="clear" w:color="auto" w:fill="F6F6F6"/>
          </w:tcPr>
          <w:p>
            <w:pPr>
              <w:spacing w:after="0"/>
              <w:rPr>
                <w:sz w:val="23"/>
                <w:szCs w:val="23"/>
                <w:color w:val="auto"/>
              </w:rPr>
            </w:pPr>
          </w:p>
        </w:tc>
        <w:tc>
          <w:tcPr>
            <w:tcW w:w="100" w:type="dxa"/>
            <w:vAlign w:val="bottom"/>
            <w:shd w:val="clear" w:color="auto" w:fill="F6F6F6"/>
          </w:tcPr>
          <w:p>
            <w:pPr>
              <w:spacing w:after="0"/>
              <w:rPr>
                <w:sz w:val="23"/>
                <w:szCs w:val="23"/>
                <w:color w:val="auto"/>
              </w:rPr>
            </w:pPr>
          </w:p>
        </w:tc>
        <w:tc>
          <w:tcPr>
            <w:tcW w:w="140" w:type="dxa"/>
            <w:vAlign w:val="bottom"/>
            <w:shd w:val="clear" w:color="auto" w:fill="F6F6F6"/>
          </w:tcPr>
          <w:p>
            <w:pPr>
              <w:spacing w:after="0"/>
              <w:rPr>
                <w:sz w:val="23"/>
                <w:szCs w:val="23"/>
                <w:color w:val="auto"/>
              </w:rPr>
            </w:pPr>
          </w:p>
        </w:tc>
        <w:tc>
          <w:tcPr>
            <w:tcW w:w="1920" w:type="dxa"/>
            <w:vAlign w:val="bottom"/>
            <w:shd w:val="clear" w:color="auto" w:fill="F6F6F6"/>
          </w:tcPr>
          <w:p>
            <w:pPr>
              <w:spacing w:after="0"/>
              <w:rPr>
                <w:sz w:val="23"/>
                <w:szCs w:val="23"/>
                <w:color w:val="auto"/>
              </w:rPr>
            </w:pPr>
          </w:p>
        </w:tc>
      </w:tr>
      <w:tr>
        <w:trPr>
          <w:trHeight w:val="247"/>
        </w:trPr>
        <w:tc>
          <w:tcPr>
            <w:tcW w:w="6940" w:type="dxa"/>
            <w:vAlign w:val="bottom"/>
          </w:tcPr>
          <w:p>
            <w:pPr>
              <w:ind w:left="20"/>
              <w:spacing w:after="0"/>
              <w:rPr>
                <w:sz w:val="20"/>
                <w:szCs w:val="20"/>
                <w:color w:val="auto"/>
              </w:rPr>
            </w:pPr>
            <w:r>
              <w:rPr>
                <w:rFonts w:ascii="Arial" w:cs="Arial" w:eastAsia="Arial" w:hAnsi="Arial"/>
                <w:sz w:val="18"/>
                <w:szCs w:val="18"/>
                <w:color w:val="auto"/>
              </w:rPr>
              <w:t>Preferred shares, $0.01 par value, 250,000,000 authorized, none issued</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0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9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
        </w:trPr>
        <w:tc>
          <w:tcPr>
            <w:tcW w:w="6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24"/>
        </w:trPr>
        <w:tc>
          <w:tcPr>
            <w:tcW w:w="6940" w:type="dxa"/>
            <w:vAlign w:val="bottom"/>
            <w:shd w:val="clear" w:color="auto" w:fill="F6F6F6"/>
          </w:tcPr>
          <w:p>
            <w:pPr>
              <w:ind w:left="20"/>
              <w:spacing w:after="0"/>
              <w:rPr>
                <w:sz w:val="20"/>
                <w:szCs w:val="20"/>
                <w:color w:val="auto"/>
              </w:rPr>
            </w:pPr>
            <w:r>
              <w:rPr>
                <w:rFonts w:ascii="Arial" w:cs="Arial" w:eastAsia="Arial" w:hAnsi="Arial"/>
                <w:sz w:val="18"/>
                <w:szCs w:val="18"/>
                <w:color w:val="auto"/>
              </w:rPr>
              <w:t>Common shares, $0.01 par value, 500,000,000 authorized, 170,341,479 and</w:t>
            </w:r>
          </w:p>
        </w:tc>
        <w:tc>
          <w:tcPr>
            <w:tcW w:w="180" w:type="dxa"/>
            <w:vAlign w:val="bottom"/>
            <w:shd w:val="clear" w:color="auto" w:fill="F6F6F6"/>
          </w:tcPr>
          <w:p>
            <w:pPr>
              <w:spacing w:after="0"/>
              <w:rPr>
                <w:sz w:val="19"/>
                <w:szCs w:val="19"/>
                <w:color w:val="auto"/>
              </w:rPr>
            </w:pPr>
          </w:p>
        </w:tc>
        <w:tc>
          <w:tcPr>
            <w:tcW w:w="1960" w:type="dxa"/>
            <w:vAlign w:val="bottom"/>
            <w:shd w:val="clear" w:color="auto" w:fill="F6F6F6"/>
          </w:tcPr>
          <w:p>
            <w:pPr>
              <w:spacing w:after="0"/>
              <w:rPr>
                <w:sz w:val="19"/>
                <w:szCs w:val="19"/>
                <w:color w:val="auto"/>
              </w:rPr>
            </w:pPr>
          </w:p>
        </w:tc>
        <w:tc>
          <w:tcPr>
            <w:tcW w:w="100" w:type="dxa"/>
            <w:vAlign w:val="bottom"/>
            <w:shd w:val="clear" w:color="auto" w:fill="F6F6F6"/>
          </w:tcPr>
          <w:p>
            <w:pPr>
              <w:spacing w:after="0"/>
              <w:rPr>
                <w:sz w:val="19"/>
                <w:szCs w:val="19"/>
                <w:color w:val="auto"/>
              </w:rPr>
            </w:pPr>
          </w:p>
        </w:tc>
        <w:tc>
          <w:tcPr>
            <w:tcW w:w="140" w:type="dxa"/>
            <w:vAlign w:val="bottom"/>
            <w:shd w:val="clear" w:color="auto" w:fill="F6F6F6"/>
          </w:tcPr>
          <w:p>
            <w:pPr>
              <w:spacing w:after="0"/>
              <w:rPr>
                <w:sz w:val="19"/>
                <w:szCs w:val="19"/>
                <w:color w:val="auto"/>
              </w:rPr>
            </w:pPr>
          </w:p>
        </w:tc>
        <w:tc>
          <w:tcPr>
            <w:tcW w:w="1920" w:type="dxa"/>
            <w:vAlign w:val="bottom"/>
            <w:shd w:val="clear" w:color="auto" w:fill="F6F6F6"/>
          </w:tcPr>
          <w:p>
            <w:pPr>
              <w:spacing w:after="0"/>
              <w:rPr>
                <w:sz w:val="19"/>
                <w:szCs w:val="19"/>
                <w:color w:val="auto"/>
              </w:rPr>
            </w:pPr>
          </w:p>
        </w:tc>
      </w:tr>
      <w:tr>
        <w:trPr>
          <w:trHeight w:val="216"/>
        </w:trPr>
        <w:tc>
          <w:tcPr>
            <w:tcW w:w="6940" w:type="dxa"/>
            <w:vAlign w:val="bottom"/>
            <w:shd w:val="clear" w:color="auto" w:fill="F6F6F6"/>
          </w:tcPr>
          <w:p>
            <w:pPr>
              <w:ind w:left="20"/>
              <w:spacing w:after="0"/>
              <w:rPr>
                <w:sz w:val="20"/>
                <w:szCs w:val="20"/>
                <w:color w:val="auto"/>
              </w:rPr>
            </w:pPr>
            <w:r>
              <w:rPr>
                <w:rFonts w:ascii="Arial" w:cs="Arial" w:eastAsia="Arial" w:hAnsi="Arial"/>
                <w:sz w:val="18"/>
                <w:szCs w:val="18"/>
                <w:color w:val="auto"/>
              </w:rPr>
              <w:t>169,504,186 issued and outstanding as of December 31, 2025 and March 31, 2026,</w:t>
            </w:r>
          </w:p>
        </w:tc>
        <w:tc>
          <w:tcPr>
            <w:tcW w:w="180" w:type="dxa"/>
            <w:vAlign w:val="bottom"/>
            <w:shd w:val="clear" w:color="auto" w:fill="F6F6F6"/>
          </w:tcPr>
          <w:p>
            <w:pPr>
              <w:spacing w:after="0"/>
              <w:rPr>
                <w:sz w:val="18"/>
                <w:szCs w:val="18"/>
                <w:color w:val="auto"/>
              </w:rPr>
            </w:pPr>
          </w:p>
        </w:tc>
        <w:tc>
          <w:tcPr>
            <w:tcW w:w="1960" w:type="dxa"/>
            <w:vAlign w:val="bottom"/>
            <w:shd w:val="clear" w:color="auto" w:fill="F6F6F6"/>
          </w:tcPr>
          <w:p>
            <w:pPr>
              <w:spacing w:after="0"/>
              <w:rPr>
                <w:sz w:val="18"/>
                <w:szCs w:val="18"/>
                <w:color w:val="auto"/>
              </w:rPr>
            </w:pPr>
          </w:p>
        </w:tc>
        <w:tc>
          <w:tcPr>
            <w:tcW w:w="100" w:type="dxa"/>
            <w:vAlign w:val="bottom"/>
            <w:shd w:val="clear" w:color="auto" w:fill="F6F6F6"/>
          </w:tcPr>
          <w:p>
            <w:pPr>
              <w:spacing w:after="0"/>
              <w:rPr>
                <w:sz w:val="18"/>
                <w:szCs w:val="18"/>
                <w:color w:val="auto"/>
              </w:rPr>
            </w:pPr>
          </w:p>
        </w:tc>
        <w:tc>
          <w:tcPr>
            <w:tcW w:w="140" w:type="dxa"/>
            <w:vAlign w:val="bottom"/>
            <w:shd w:val="clear" w:color="auto" w:fill="F6F6F6"/>
          </w:tcPr>
          <w:p>
            <w:pPr>
              <w:spacing w:after="0"/>
              <w:rPr>
                <w:sz w:val="18"/>
                <w:szCs w:val="18"/>
                <w:color w:val="auto"/>
              </w:rPr>
            </w:pPr>
          </w:p>
        </w:tc>
        <w:tc>
          <w:tcPr>
            <w:tcW w:w="1920" w:type="dxa"/>
            <w:vAlign w:val="bottom"/>
            <w:shd w:val="clear" w:color="auto" w:fill="F6F6F6"/>
          </w:tcPr>
          <w:p>
            <w:pPr>
              <w:spacing w:after="0"/>
              <w:rPr>
                <w:sz w:val="18"/>
                <w:szCs w:val="18"/>
                <w:color w:val="auto"/>
              </w:rPr>
            </w:pPr>
          </w:p>
        </w:tc>
      </w:tr>
      <w:tr>
        <w:trPr>
          <w:trHeight w:val="242"/>
        </w:trPr>
        <w:tc>
          <w:tcPr>
            <w:tcW w:w="6940" w:type="dxa"/>
            <w:vAlign w:val="bottom"/>
            <w:tcBorders>
              <w:bottom w:val="single" w:sz="8" w:color="F6F6F6"/>
            </w:tcBorders>
            <w:shd w:val="clear" w:color="auto" w:fill="F6F6F6"/>
          </w:tcPr>
          <w:p>
            <w:pPr>
              <w:ind w:left="20"/>
              <w:spacing w:after="0"/>
              <w:rPr>
                <w:sz w:val="20"/>
                <w:szCs w:val="20"/>
                <w:color w:val="auto"/>
              </w:rPr>
            </w:pPr>
            <w:r>
              <w:rPr>
                <w:rFonts w:ascii="Arial" w:cs="Arial" w:eastAsia="Arial" w:hAnsi="Arial"/>
                <w:sz w:val="18"/>
                <w:szCs w:val="18"/>
                <w:color w:val="auto"/>
              </w:rPr>
              <w:t>respectively</w:t>
            </w:r>
          </w:p>
        </w:tc>
        <w:tc>
          <w:tcPr>
            <w:tcW w:w="180" w:type="dxa"/>
            <w:vAlign w:val="bottom"/>
            <w:tcBorders>
              <w:bottom w:val="single" w:sz="8" w:color="F6F6F6"/>
            </w:tcBorders>
            <w:shd w:val="clear" w:color="auto" w:fill="F6F6F6"/>
          </w:tcPr>
          <w:p>
            <w:pPr>
              <w:spacing w:after="0"/>
              <w:rPr>
                <w:sz w:val="21"/>
                <w:szCs w:val="21"/>
                <w:color w:val="auto"/>
              </w:rPr>
            </w:pPr>
          </w:p>
        </w:tc>
        <w:tc>
          <w:tcPr>
            <w:tcW w:w="1960" w:type="dxa"/>
            <w:vAlign w:val="bottom"/>
            <w:tcBorders>
              <w:bottom w:val="single" w:sz="8" w:color="F6F6F6"/>
            </w:tcBorders>
            <w:shd w:val="clear" w:color="auto" w:fill="F6F6F6"/>
          </w:tcPr>
          <w:p>
            <w:pPr>
              <w:jc w:val="right"/>
              <w:spacing w:after="0"/>
              <w:rPr>
                <w:sz w:val="20"/>
                <w:szCs w:val="20"/>
                <w:color w:val="auto"/>
              </w:rPr>
            </w:pPr>
            <w:r>
              <w:rPr>
                <w:rFonts w:ascii="Arial" w:cs="Arial" w:eastAsia="Arial" w:hAnsi="Arial"/>
                <w:sz w:val="18"/>
                <w:szCs w:val="18"/>
                <w:color w:val="auto"/>
              </w:rPr>
              <w:t>1,696</w:t>
            </w:r>
          </w:p>
        </w:tc>
        <w:tc>
          <w:tcPr>
            <w:tcW w:w="100" w:type="dxa"/>
            <w:vAlign w:val="bottom"/>
            <w:tcBorders>
              <w:bottom w:val="single" w:sz="8" w:color="F6F6F6"/>
            </w:tcBorders>
            <w:shd w:val="clear" w:color="auto" w:fill="F6F6F6"/>
          </w:tcPr>
          <w:p>
            <w:pPr>
              <w:spacing w:after="0"/>
              <w:rPr>
                <w:sz w:val="21"/>
                <w:szCs w:val="21"/>
                <w:color w:val="auto"/>
              </w:rPr>
            </w:pPr>
          </w:p>
        </w:tc>
        <w:tc>
          <w:tcPr>
            <w:tcW w:w="140" w:type="dxa"/>
            <w:vAlign w:val="bottom"/>
            <w:tcBorders>
              <w:bottom w:val="single" w:sz="8" w:color="F6F6F6"/>
            </w:tcBorders>
            <w:shd w:val="clear" w:color="auto" w:fill="F6F6F6"/>
          </w:tcPr>
          <w:p>
            <w:pPr>
              <w:spacing w:after="0"/>
              <w:rPr>
                <w:sz w:val="21"/>
                <w:szCs w:val="21"/>
                <w:color w:val="auto"/>
              </w:rPr>
            </w:pPr>
          </w:p>
        </w:tc>
        <w:tc>
          <w:tcPr>
            <w:tcW w:w="1920" w:type="dxa"/>
            <w:vAlign w:val="bottom"/>
            <w:tcBorders>
              <w:bottom w:val="single" w:sz="8" w:color="F6F6F6"/>
            </w:tcBorders>
            <w:shd w:val="clear" w:color="auto" w:fill="F6F6F6"/>
          </w:tcPr>
          <w:p>
            <w:pPr>
              <w:jc w:val="right"/>
              <w:spacing w:after="0"/>
              <w:rPr>
                <w:sz w:val="20"/>
                <w:szCs w:val="20"/>
                <w:color w:val="auto"/>
              </w:rPr>
            </w:pPr>
            <w:r>
              <w:rPr>
                <w:rFonts w:ascii="Arial" w:cs="Arial" w:eastAsia="Arial" w:hAnsi="Arial"/>
                <w:sz w:val="18"/>
                <w:szCs w:val="18"/>
                <w:color w:val="auto"/>
              </w:rPr>
              <w:t>1,688</w:t>
            </w:r>
          </w:p>
        </w:tc>
      </w:tr>
      <w:tr>
        <w:trPr>
          <w:trHeight w:val="247"/>
        </w:trPr>
        <w:tc>
          <w:tcPr>
            <w:tcW w:w="6940" w:type="dxa"/>
            <w:vAlign w:val="bottom"/>
          </w:tcPr>
          <w:p>
            <w:pPr>
              <w:ind w:left="20"/>
              <w:spacing w:after="0"/>
              <w:rPr>
                <w:sz w:val="20"/>
                <w:szCs w:val="20"/>
                <w:color w:val="auto"/>
              </w:rPr>
            </w:pPr>
            <w:r>
              <w:rPr>
                <w:rFonts w:ascii="Arial" w:cs="Arial" w:eastAsia="Arial" w:hAnsi="Arial"/>
                <w:sz w:val="18"/>
                <w:szCs w:val="18"/>
                <w:color w:val="auto"/>
              </w:rPr>
              <w:t>Additional paid-in capital</w:t>
            </w:r>
          </w:p>
        </w:tc>
        <w:tc>
          <w:tcPr>
            <w:tcW w:w="180" w:type="dxa"/>
            <w:vAlign w:val="bottom"/>
          </w:tcPr>
          <w:p>
            <w:pPr>
              <w:spacing w:after="0"/>
              <w:rPr>
                <w:sz w:val="21"/>
                <w:szCs w:val="21"/>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2,018,985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2,021,588</w:t>
            </w:r>
          </w:p>
        </w:tc>
      </w:tr>
      <w:tr>
        <w:trPr>
          <w:trHeight w:val="23"/>
        </w:trPr>
        <w:tc>
          <w:tcPr>
            <w:tcW w:w="6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6940" w:type="dxa"/>
            <w:vAlign w:val="bottom"/>
            <w:tcBorders>
              <w:bottom w:val="single" w:sz="8" w:color="F6F6F6"/>
            </w:tcBorders>
            <w:shd w:val="clear" w:color="auto" w:fill="F6F6F6"/>
          </w:tcPr>
          <w:p>
            <w:pPr>
              <w:ind w:left="20"/>
              <w:spacing w:after="0"/>
              <w:rPr>
                <w:sz w:val="20"/>
                <w:szCs w:val="20"/>
                <w:color w:val="auto"/>
              </w:rPr>
            </w:pPr>
            <w:r>
              <w:rPr>
                <w:rFonts w:ascii="Arial" w:cs="Arial" w:eastAsia="Arial" w:hAnsi="Arial"/>
                <w:sz w:val="18"/>
                <w:szCs w:val="18"/>
                <w:color w:val="auto"/>
              </w:rPr>
              <w:t>Retained earnings</w:t>
            </w:r>
          </w:p>
        </w:tc>
        <w:tc>
          <w:tcPr>
            <w:tcW w:w="180" w:type="dxa"/>
            <w:vAlign w:val="bottom"/>
            <w:tcBorders>
              <w:bottom w:val="single" w:sz="8" w:color="F6F6F6"/>
            </w:tcBorders>
            <w:shd w:val="clear" w:color="auto" w:fill="F6F6F6"/>
          </w:tcPr>
          <w:p>
            <w:pPr>
              <w:spacing w:after="0"/>
              <w:rPr>
                <w:sz w:val="21"/>
                <w:szCs w:val="21"/>
                <w:color w:val="auto"/>
              </w:rPr>
            </w:pPr>
          </w:p>
        </w:tc>
        <w:tc>
          <w:tcPr>
            <w:tcW w:w="1960" w:type="dxa"/>
            <w:vAlign w:val="bottom"/>
            <w:tcBorders>
              <w:bottom w:val="single" w:sz="8" w:color="F6F6F6"/>
            </w:tcBorders>
            <w:shd w:val="clear" w:color="auto" w:fill="F6F6F6"/>
          </w:tcPr>
          <w:p>
            <w:pPr>
              <w:jc w:val="right"/>
              <w:spacing w:after="0"/>
              <w:rPr>
                <w:sz w:val="20"/>
                <w:szCs w:val="20"/>
                <w:color w:val="auto"/>
              </w:rPr>
            </w:pPr>
            <w:r>
              <w:rPr>
                <w:rFonts w:ascii="Arial" w:cs="Arial" w:eastAsia="Arial" w:hAnsi="Arial"/>
                <w:sz w:val="18"/>
                <w:szCs w:val="18"/>
                <w:color w:val="auto"/>
              </w:rPr>
              <w:t>1,390,164</w:t>
            </w:r>
          </w:p>
        </w:tc>
        <w:tc>
          <w:tcPr>
            <w:tcW w:w="100" w:type="dxa"/>
            <w:vAlign w:val="bottom"/>
            <w:tcBorders>
              <w:bottom w:val="single" w:sz="8" w:color="F6F6F6"/>
            </w:tcBorders>
            <w:shd w:val="clear" w:color="auto" w:fill="F6F6F6"/>
          </w:tcPr>
          <w:p>
            <w:pPr>
              <w:spacing w:after="0"/>
              <w:rPr>
                <w:sz w:val="21"/>
                <w:szCs w:val="21"/>
                <w:color w:val="auto"/>
              </w:rPr>
            </w:pPr>
          </w:p>
        </w:tc>
        <w:tc>
          <w:tcPr>
            <w:tcW w:w="140" w:type="dxa"/>
            <w:vAlign w:val="bottom"/>
            <w:tcBorders>
              <w:bottom w:val="single" w:sz="8" w:color="F6F6F6"/>
            </w:tcBorders>
            <w:shd w:val="clear" w:color="auto" w:fill="F6F6F6"/>
          </w:tcPr>
          <w:p>
            <w:pPr>
              <w:spacing w:after="0"/>
              <w:rPr>
                <w:sz w:val="21"/>
                <w:szCs w:val="21"/>
                <w:color w:val="auto"/>
              </w:rPr>
            </w:pPr>
          </w:p>
        </w:tc>
        <w:tc>
          <w:tcPr>
            <w:tcW w:w="1920" w:type="dxa"/>
            <w:vAlign w:val="bottom"/>
            <w:tcBorders>
              <w:bottom w:val="single" w:sz="8" w:color="F6F6F6"/>
            </w:tcBorders>
            <w:shd w:val="clear" w:color="auto" w:fill="F6F6F6"/>
          </w:tcPr>
          <w:p>
            <w:pPr>
              <w:jc w:val="right"/>
              <w:spacing w:after="0"/>
              <w:rPr>
                <w:sz w:val="20"/>
                <w:szCs w:val="20"/>
                <w:color w:val="auto"/>
              </w:rPr>
            </w:pPr>
            <w:r>
              <w:rPr>
                <w:rFonts w:ascii="Arial" w:cs="Arial" w:eastAsia="Arial" w:hAnsi="Arial"/>
                <w:sz w:val="18"/>
                <w:szCs w:val="18"/>
                <w:color w:val="auto"/>
              </w:rPr>
              <w:t>1,436,409</w:t>
            </w:r>
          </w:p>
        </w:tc>
      </w:tr>
      <w:tr>
        <w:trPr>
          <w:trHeight w:val="247"/>
        </w:trPr>
        <w:tc>
          <w:tcPr>
            <w:tcW w:w="6940" w:type="dxa"/>
            <w:vAlign w:val="bottom"/>
          </w:tcPr>
          <w:p>
            <w:pPr>
              <w:ind w:left="20"/>
              <w:spacing w:after="0"/>
              <w:rPr>
                <w:sz w:val="20"/>
                <w:szCs w:val="20"/>
                <w:color w:val="auto"/>
              </w:rPr>
            </w:pPr>
            <w:r>
              <w:rPr>
                <w:rFonts w:ascii="Arial" w:cs="Arial" w:eastAsia="Arial" w:hAnsi="Arial"/>
                <w:sz w:val="18"/>
                <w:szCs w:val="18"/>
                <w:color w:val="auto"/>
              </w:rPr>
              <w:t>Accumulated other comprehensive income (loss)</w:t>
            </w:r>
          </w:p>
        </w:tc>
        <w:tc>
          <w:tcPr>
            <w:tcW w:w="180" w:type="dxa"/>
            <w:vAlign w:val="bottom"/>
          </w:tcPr>
          <w:p>
            <w:pPr>
              <w:spacing w:after="0"/>
              <w:rPr>
                <w:sz w:val="21"/>
                <w:szCs w:val="21"/>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(861,444)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(984,492)</w:t>
            </w:r>
          </w:p>
        </w:tc>
      </w:tr>
      <w:tr>
        <w:trPr>
          <w:trHeight w:val="23"/>
        </w:trPr>
        <w:tc>
          <w:tcPr>
            <w:tcW w:w="6940" w:type="dxa"/>
            <w:vAlign w:val="bottom"/>
            <w:tcBorders>
              <w:bottom w:val="single" w:sz="8" w:color="F6F6F6"/>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00" w:type="dxa"/>
            <w:vAlign w:val="bottom"/>
            <w:tcBorders>
              <w:bottom w:val="single" w:sz="8" w:color="F6F6F6"/>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57"/>
        </w:trPr>
        <w:tc>
          <w:tcPr>
            <w:tcW w:w="6940" w:type="dxa"/>
            <w:vAlign w:val="bottom"/>
            <w:shd w:val="clear" w:color="auto" w:fill="F6F6F6"/>
          </w:tcPr>
          <w:p>
            <w:pPr>
              <w:ind w:left="20"/>
              <w:spacing w:after="0"/>
              <w:rPr>
                <w:sz w:val="20"/>
                <w:szCs w:val="20"/>
                <w:color w:val="auto"/>
              </w:rPr>
            </w:pPr>
            <w:r>
              <w:rPr>
                <w:rFonts w:ascii="Arial" w:cs="Arial" w:eastAsia="Arial" w:hAnsi="Arial"/>
                <w:sz w:val="18"/>
                <w:szCs w:val="18"/>
                <w:b w:val="1"/>
                <w:bCs w:val="1"/>
                <w:color w:val="auto"/>
              </w:rPr>
              <w:t>Total equity</w:t>
            </w:r>
          </w:p>
        </w:tc>
        <w:tc>
          <w:tcPr>
            <w:tcW w:w="180" w:type="dxa"/>
            <w:vAlign w:val="bottom"/>
            <w:tcBorders>
              <w:bottom w:val="single" w:sz="8" w:color="auto"/>
            </w:tcBorders>
            <w:shd w:val="clear" w:color="auto" w:fill="F6F6F6"/>
          </w:tcPr>
          <w:p>
            <w:pPr>
              <w:jc w:val="right"/>
              <w:spacing w:after="0"/>
              <w:rPr>
                <w:sz w:val="20"/>
                <w:szCs w:val="20"/>
                <w:color w:val="auto"/>
              </w:rPr>
            </w:pPr>
            <w:r>
              <w:rPr>
                <w:rFonts w:ascii="Arial" w:cs="Arial" w:eastAsia="Arial" w:hAnsi="Arial"/>
                <w:sz w:val="18"/>
                <w:szCs w:val="18"/>
                <w:b w:val="1"/>
                <w:bCs w:val="1"/>
                <w:color w:val="auto"/>
                <w:w w:val="99"/>
              </w:rPr>
              <w:t>$</w:t>
            </w:r>
          </w:p>
        </w:tc>
        <w:tc>
          <w:tcPr>
            <w:tcW w:w="1960" w:type="dxa"/>
            <w:vAlign w:val="bottom"/>
            <w:tcBorders>
              <w:bottom w:val="single" w:sz="8" w:color="auto"/>
            </w:tcBorders>
            <w:shd w:val="clear" w:color="auto" w:fill="F6F6F6"/>
          </w:tcPr>
          <w:p>
            <w:pPr>
              <w:jc w:val="right"/>
              <w:spacing w:after="0"/>
              <w:rPr>
                <w:sz w:val="20"/>
                <w:szCs w:val="20"/>
                <w:color w:val="auto"/>
              </w:rPr>
            </w:pPr>
            <w:r>
              <w:rPr>
                <w:rFonts w:ascii="Arial" w:cs="Arial" w:eastAsia="Arial" w:hAnsi="Arial"/>
                <w:sz w:val="18"/>
                <w:szCs w:val="18"/>
                <w:b w:val="1"/>
                <w:bCs w:val="1"/>
                <w:color w:val="auto"/>
              </w:rPr>
              <w:t>2,549,401</w:t>
            </w:r>
          </w:p>
        </w:tc>
        <w:tc>
          <w:tcPr>
            <w:tcW w:w="100" w:type="dxa"/>
            <w:vAlign w:val="bottom"/>
            <w:shd w:val="clear" w:color="auto" w:fill="F6F6F6"/>
          </w:tcPr>
          <w:p>
            <w:pPr>
              <w:spacing w:after="0"/>
              <w:rPr>
                <w:sz w:val="22"/>
                <w:szCs w:val="22"/>
                <w:color w:val="auto"/>
              </w:rPr>
            </w:pPr>
          </w:p>
        </w:tc>
        <w:tc>
          <w:tcPr>
            <w:tcW w:w="140" w:type="dxa"/>
            <w:vAlign w:val="bottom"/>
            <w:tcBorders>
              <w:bottom w:val="single" w:sz="8" w:color="auto"/>
            </w:tcBorders>
            <w:shd w:val="clear" w:color="auto" w:fill="F6F6F6"/>
          </w:tcPr>
          <w:p>
            <w:pPr>
              <w:jc w:val="right"/>
              <w:spacing w:after="0"/>
              <w:rPr>
                <w:sz w:val="20"/>
                <w:szCs w:val="20"/>
                <w:color w:val="auto"/>
              </w:rPr>
            </w:pPr>
            <w:r>
              <w:rPr>
                <w:rFonts w:ascii="Arial" w:cs="Arial" w:eastAsia="Arial" w:hAnsi="Arial"/>
                <w:sz w:val="18"/>
                <w:szCs w:val="18"/>
                <w:b w:val="1"/>
                <w:bCs w:val="1"/>
                <w:color w:val="auto"/>
                <w:w w:val="99"/>
              </w:rPr>
              <w:t>$</w:t>
            </w:r>
          </w:p>
        </w:tc>
        <w:tc>
          <w:tcPr>
            <w:tcW w:w="1920" w:type="dxa"/>
            <w:vAlign w:val="bottom"/>
            <w:tcBorders>
              <w:bottom w:val="single" w:sz="8" w:color="auto"/>
            </w:tcBorders>
            <w:shd w:val="clear" w:color="auto" w:fill="F6F6F6"/>
          </w:tcPr>
          <w:p>
            <w:pPr>
              <w:jc w:val="right"/>
              <w:spacing w:after="0"/>
              <w:rPr>
                <w:sz w:val="20"/>
                <w:szCs w:val="20"/>
                <w:color w:val="auto"/>
              </w:rPr>
            </w:pPr>
            <w:r>
              <w:rPr>
                <w:rFonts w:ascii="Arial" w:cs="Arial" w:eastAsia="Arial" w:hAnsi="Arial"/>
                <w:sz w:val="18"/>
                <w:szCs w:val="18"/>
                <w:b w:val="1"/>
                <w:bCs w:val="1"/>
                <w:color w:val="auto"/>
              </w:rPr>
              <w:t>2,475,193</w:t>
            </w:r>
          </w:p>
        </w:tc>
      </w:tr>
      <w:tr>
        <w:trPr>
          <w:trHeight w:val="203"/>
        </w:trPr>
        <w:tc>
          <w:tcPr>
            <w:tcW w:w="6940" w:type="dxa"/>
            <w:vAlign w:val="bottom"/>
            <w:tcBorders>
              <w:bottom w:val="single" w:sz="8" w:color="F6F6F6"/>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tcPr>
          <w:p>
            <w:pPr>
              <w:spacing w:after="0"/>
              <w:rPr>
                <w:sz w:val="17"/>
                <w:szCs w:val="17"/>
                <w:color w:val="auto"/>
              </w:rPr>
            </w:pPr>
          </w:p>
        </w:tc>
        <w:tc>
          <w:tcPr>
            <w:tcW w:w="100" w:type="dxa"/>
            <w:vAlign w:val="bottom"/>
            <w:tcBorders>
              <w:bottom w:val="single" w:sz="8" w:color="F6F6F6"/>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tcPr>
          <w:p>
            <w:pPr>
              <w:spacing w:after="0"/>
              <w:rPr>
                <w:sz w:val="17"/>
                <w:szCs w:val="17"/>
                <w:color w:val="auto"/>
              </w:rPr>
            </w:pPr>
          </w:p>
        </w:tc>
      </w:tr>
      <w:tr>
        <w:trPr>
          <w:trHeight w:val="282"/>
        </w:trPr>
        <w:tc>
          <w:tcPr>
            <w:tcW w:w="6940" w:type="dxa"/>
            <w:vAlign w:val="bottom"/>
            <w:tcBorders>
              <w:bottom w:val="single" w:sz="8" w:color="F6F6F6"/>
            </w:tcBorders>
            <w:shd w:val="clear" w:color="auto" w:fill="F6F6F6"/>
          </w:tcPr>
          <w:p>
            <w:pPr>
              <w:ind w:left="20"/>
              <w:spacing w:after="0"/>
              <w:rPr>
                <w:sz w:val="20"/>
                <w:szCs w:val="20"/>
                <w:color w:val="auto"/>
              </w:rPr>
            </w:pPr>
            <w:r>
              <w:rPr>
                <w:rFonts w:ascii="Arial" w:cs="Arial" w:eastAsia="Arial" w:hAnsi="Arial"/>
                <w:sz w:val="18"/>
                <w:szCs w:val="18"/>
                <w:b w:val="1"/>
                <w:bCs w:val="1"/>
                <w:color w:val="auto"/>
              </w:rPr>
              <w:t>Total liabilities and equity</w:t>
            </w:r>
          </w:p>
        </w:tc>
        <w:tc>
          <w:tcPr>
            <w:tcW w:w="180" w:type="dxa"/>
            <w:vAlign w:val="bottom"/>
            <w:tcBorders>
              <w:bottom w:val="single" w:sz="8" w:color="auto"/>
            </w:tcBorders>
            <w:shd w:val="clear" w:color="auto" w:fill="F6F6F6"/>
          </w:tcPr>
          <w:p>
            <w:pPr>
              <w:jc w:val="right"/>
              <w:spacing w:after="0"/>
              <w:rPr>
                <w:sz w:val="20"/>
                <w:szCs w:val="20"/>
                <w:color w:val="auto"/>
              </w:rPr>
            </w:pPr>
            <w:r>
              <w:rPr>
                <w:rFonts w:ascii="Arial" w:cs="Arial" w:eastAsia="Arial" w:hAnsi="Arial"/>
                <w:sz w:val="18"/>
                <w:szCs w:val="18"/>
                <w:b w:val="1"/>
                <w:bCs w:val="1"/>
                <w:color w:val="auto"/>
                <w:w w:val="99"/>
              </w:rPr>
              <w:t>$</w:t>
            </w:r>
          </w:p>
        </w:tc>
        <w:tc>
          <w:tcPr>
            <w:tcW w:w="1960" w:type="dxa"/>
            <w:vAlign w:val="bottom"/>
            <w:tcBorders>
              <w:bottom w:val="single" w:sz="8" w:color="auto"/>
            </w:tcBorders>
            <w:shd w:val="clear" w:color="auto" w:fill="F6F6F6"/>
          </w:tcPr>
          <w:p>
            <w:pPr>
              <w:jc w:val="right"/>
              <w:spacing w:after="0"/>
              <w:rPr>
                <w:sz w:val="20"/>
                <w:szCs w:val="20"/>
                <w:color w:val="auto"/>
              </w:rPr>
            </w:pPr>
            <w:r>
              <w:rPr>
                <w:rFonts w:ascii="Arial" w:cs="Arial" w:eastAsia="Arial" w:hAnsi="Arial"/>
                <w:sz w:val="18"/>
                <w:szCs w:val="18"/>
                <w:b w:val="1"/>
                <w:bCs w:val="1"/>
                <w:color w:val="auto"/>
              </w:rPr>
              <w:t>5,843,267</w:t>
            </w:r>
          </w:p>
        </w:tc>
        <w:tc>
          <w:tcPr>
            <w:tcW w:w="100" w:type="dxa"/>
            <w:vAlign w:val="bottom"/>
            <w:tcBorders>
              <w:bottom w:val="single" w:sz="8" w:color="F6F6F6"/>
            </w:tcBorders>
            <w:shd w:val="clear" w:color="auto" w:fill="F6F6F6"/>
          </w:tcPr>
          <w:p>
            <w:pPr>
              <w:spacing w:after="0"/>
              <w:rPr>
                <w:sz w:val="24"/>
                <w:szCs w:val="24"/>
                <w:color w:val="auto"/>
              </w:rPr>
            </w:pPr>
          </w:p>
        </w:tc>
        <w:tc>
          <w:tcPr>
            <w:tcW w:w="140" w:type="dxa"/>
            <w:vAlign w:val="bottom"/>
            <w:tcBorders>
              <w:bottom w:val="single" w:sz="8" w:color="auto"/>
            </w:tcBorders>
            <w:shd w:val="clear" w:color="auto" w:fill="F6F6F6"/>
          </w:tcPr>
          <w:p>
            <w:pPr>
              <w:jc w:val="right"/>
              <w:spacing w:after="0"/>
              <w:rPr>
                <w:sz w:val="20"/>
                <w:szCs w:val="20"/>
                <w:color w:val="auto"/>
              </w:rPr>
            </w:pPr>
            <w:r>
              <w:rPr>
                <w:rFonts w:ascii="Arial" w:cs="Arial" w:eastAsia="Arial" w:hAnsi="Arial"/>
                <w:sz w:val="18"/>
                <w:szCs w:val="18"/>
                <w:b w:val="1"/>
                <w:bCs w:val="1"/>
                <w:color w:val="auto"/>
                <w:w w:val="99"/>
              </w:rPr>
              <w:t>$</w:t>
            </w:r>
          </w:p>
        </w:tc>
        <w:tc>
          <w:tcPr>
            <w:tcW w:w="1920" w:type="dxa"/>
            <w:vAlign w:val="bottom"/>
            <w:tcBorders>
              <w:bottom w:val="single" w:sz="8" w:color="auto"/>
            </w:tcBorders>
            <w:shd w:val="clear" w:color="auto" w:fill="F6F6F6"/>
          </w:tcPr>
          <w:p>
            <w:pPr>
              <w:jc w:val="right"/>
              <w:spacing w:after="0"/>
              <w:rPr>
                <w:sz w:val="20"/>
                <w:szCs w:val="20"/>
                <w:color w:val="auto"/>
              </w:rPr>
            </w:pPr>
            <w:r>
              <w:rPr>
                <w:rFonts w:ascii="Arial" w:cs="Arial" w:eastAsia="Arial" w:hAnsi="Arial"/>
                <w:sz w:val="18"/>
                <w:szCs w:val="18"/>
                <w:b w:val="1"/>
                <w:bCs w:val="1"/>
                <w:color w:val="auto"/>
              </w:rPr>
              <w:t>5,617,239</w:t>
            </w:r>
          </w:p>
        </w:tc>
      </w:tr>
      <w:tr>
        <w:trPr>
          <w:trHeight w:val="20"/>
        </w:trPr>
        <w:tc>
          <w:tcPr>
            <w:tcW w:w="6940" w:type="dxa"/>
            <w:vAlign w:val="bottom"/>
            <w:tcBorders>
              <w:top w:val="single" w:sz="8" w:color="F6F6F6"/>
            </w:tcBorders>
          </w:tcPr>
          <w:p>
            <w:pPr>
              <w:spacing w:after="0" w:line="20" w:lineRule="exact"/>
              <w:rPr>
                <w:sz w:val="1"/>
                <w:szCs w:val="1"/>
                <w:color w:val="auto"/>
              </w:rPr>
            </w:pPr>
          </w:p>
        </w:tc>
        <w:tc>
          <w:tcPr>
            <w:tcW w:w="180" w:type="dxa"/>
            <w:vAlign w:val="bottom"/>
            <w:tcBorders>
              <w:top w:val="single" w:sz="8" w:color="F6F6F6"/>
              <w:bottom w:val="single" w:sz="8" w:color="auto"/>
            </w:tcBorders>
          </w:tcPr>
          <w:p>
            <w:pPr>
              <w:spacing w:after="0" w:line="20" w:lineRule="exact"/>
              <w:rPr>
                <w:sz w:val="1"/>
                <w:szCs w:val="1"/>
                <w:color w:val="auto"/>
              </w:rPr>
            </w:pPr>
          </w:p>
        </w:tc>
        <w:tc>
          <w:tcPr>
            <w:tcW w:w="1960" w:type="dxa"/>
            <w:vAlign w:val="bottom"/>
            <w:tcBorders>
              <w:top w:val="single" w:sz="8" w:color="F6F6F6"/>
              <w:bottom w:val="single" w:sz="8" w:color="auto"/>
            </w:tcBorders>
          </w:tcPr>
          <w:p>
            <w:pPr>
              <w:spacing w:after="0" w:line="20" w:lineRule="exact"/>
              <w:rPr>
                <w:sz w:val="1"/>
                <w:szCs w:val="1"/>
                <w:color w:val="auto"/>
              </w:rPr>
            </w:pPr>
          </w:p>
        </w:tc>
        <w:tc>
          <w:tcPr>
            <w:tcW w:w="100" w:type="dxa"/>
            <w:vAlign w:val="bottom"/>
            <w:tcBorders>
              <w:top w:val="single" w:sz="8" w:color="F6F6F6"/>
            </w:tcBorders>
          </w:tcPr>
          <w:p>
            <w:pPr>
              <w:spacing w:after="0" w:line="20" w:lineRule="exact"/>
              <w:rPr>
                <w:sz w:val="1"/>
                <w:szCs w:val="1"/>
                <w:color w:val="auto"/>
              </w:rPr>
            </w:pPr>
          </w:p>
        </w:tc>
        <w:tc>
          <w:tcPr>
            <w:tcW w:w="140" w:type="dxa"/>
            <w:vAlign w:val="bottom"/>
            <w:tcBorders>
              <w:top w:val="single" w:sz="8" w:color="F6F6F6"/>
              <w:bottom w:val="single" w:sz="8" w:color="auto"/>
            </w:tcBorders>
          </w:tcPr>
          <w:p>
            <w:pPr>
              <w:spacing w:after="0" w:line="20" w:lineRule="exact"/>
              <w:rPr>
                <w:sz w:val="1"/>
                <w:szCs w:val="1"/>
                <w:color w:val="auto"/>
              </w:rPr>
            </w:pPr>
          </w:p>
        </w:tc>
        <w:tc>
          <w:tcPr>
            <w:tcW w:w="1920" w:type="dxa"/>
            <w:vAlign w:val="bottom"/>
            <w:tcBorders>
              <w:top w:val="single" w:sz="8" w:color="F6F6F6"/>
              <w:bottom w:val="single" w:sz="8" w:color="auto"/>
            </w:tcBorders>
          </w:tcPr>
          <w:p>
            <w:pPr>
              <w:spacing w:after="0" w:line="20" w:lineRule="exact"/>
              <w:rPr>
                <w:sz w:val="1"/>
                <w:szCs w:val="1"/>
                <w:color w:val="auto"/>
              </w:rPr>
            </w:pPr>
          </w:p>
        </w:tc>
      </w:tr>
    </w:tbl>
    <w:p>
      <w:pPr>
        <w:sectPr>
          <w:pgSz w:w="11900" w:h="16838" w:orient="portrait"/>
          <w:cols w:equalWidth="0" w:num="1">
            <w:col w:w="11240"/>
          </w:cols>
          <w:pgMar w:left="320" w:top="440"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20"/>
          <w:szCs w:val="20"/>
          <w:b w:val="1"/>
          <w:bCs w:val="1"/>
          <w:color w:val="auto"/>
        </w:rPr>
        <w:t>GENPACT LIMITED AND ITS SUBSIDIARIES</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 and share count)</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704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3720" w:type="dxa"/>
            <w:vAlign w:val="bottom"/>
            <w:tcBorders>
              <w:bottom w:val="single" w:sz="8" w:color="auto"/>
            </w:tcBorders>
            <w:gridSpan w:val="4"/>
          </w:tcPr>
          <w:p>
            <w:pPr>
              <w:jc w:val="right"/>
              <w:ind w:right="819"/>
              <w:spacing w:after="0"/>
              <w:rPr>
                <w:sz w:val="20"/>
                <w:szCs w:val="20"/>
                <w:color w:val="auto"/>
              </w:rPr>
            </w:pPr>
            <w:r>
              <w:rPr>
                <w:rFonts w:ascii="Arial" w:cs="Arial" w:eastAsia="Arial" w:hAnsi="Arial"/>
                <w:sz w:val="16"/>
                <w:szCs w:val="16"/>
                <w:b w:val="1"/>
                <w:bCs w:val="1"/>
                <w:color w:val="auto"/>
              </w:rPr>
              <w:t>Three months ended March 31,</w:t>
            </w:r>
          </w:p>
        </w:tc>
      </w:tr>
      <w:tr>
        <w:trPr>
          <w:trHeight w:val="237"/>
        </w:trPr>
        <w:tc>
          <w:tcPr>
            <w:tcW w:w="7040" w:type="dxa"/>
            <w:vAlign w:val="bottom"/>
            <w:tcBorders>
              <w:bottom w:val="single" w:sz="8" w:color="F6F6F6"/>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779"/>
              <w:spacing w:after="0"/>
              <w:rPr>
                <w:sz w:val="20"/>
                <w:szCs w:val="20"/>
                <w:color w:val="auto"/>
              </w:rPr>
            </w:pPr>
            <w:r>
              <w:rPr>
                <w:rFonts w:ascii="Arial" w:cs="Arial" w:eastAsia="Arial" w:hAnsi="Arial"/>
                <w:sz w:val="16"/>
                <w:szCs w:val="16"/>
                <w:b w:val="1"/>
                <w:bCs w:val="1"/>
                <w:color w:val="auto"/>
              </w:rPr>
              <w:t>2025</w:t>
            </w:r>
          </w:p>
        </w:tc>
        <w:tc>
          <w:tcPr>
            <w:tcW w:w="80" w:type="dxa"/>
            <w:vAlign w:val="bottom"/>
            <w:tcBorders>
              <w:bottom w:val="single" w:sz="8" w:color="F6F6F6"/>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779"/>
              <w:spacing w:after="0"/>
              <w:rPr>
                <w:sz w:val="20"/>
                <w:szCs w:val="20"/>
                <w:color w:val="auto"/>
              </w:rPr>
            </w:pPr>
            <w:r>
              <w:rPr>
                <w:rFonts w:ascii="Arial" w:cs="Arial" w:eastAsia="Arial" w:hAnsi="Arial"/>
                <w:sz w:val="16"/>
                <w:szCs w:val="16"/>
                <w:b w:val="1"/>
                <w:bCs w:val="1"/>
                <w:color w:val="auto"/>
              </w:rPr>
              <w:t>2026</w:t>
            </w:r>
          </w:p>
        </w:tc>
      </w:tr>
      <w:tr>
        <w:trPr>
          <w:trHeight w:val="240"/>
        </w:trPr>
        <w:tc>
          <w:tcPr>
            <w:tcW w:w="7040" w:type="dxa"/>
            <w:vAlign w:val="bottom"/>
            <w:shd w:val="clear" w:color="auto" w:fill="F6F6F6"/>
          </w:tcPr>
          <w:p>
            <w:pPr>
              <w:ind w:left="20"/>
              <w:spacing w:after="0"/>
              <w:rPr>
                <w:sz w:val="20"/>
                <w:szCs w:val="20"/>
                <w:color w:val="auto"/>
              </w:rPr>
            </w:pPr>
            <w:r>
              <w:rPr>
                <w:rFonts w:ascii="Arial" w:cs="Arial" w:eastAsia="Arial" w:hAnsi="Arial"/>
                <w:sz w:val="16"/>
                <w:szCs w:val="16"/>
                <w:color w:val="auto"/>
              </w:rPr>
              <w:t>Net revenues</w:t>
            </w:r>
          </w:p>
        </w:tc>
        <w:tc>
          <w:tcPr>
            <w:tcW w:w="480" w:type="dxa"/>
            <w:vAlign w:val="bottom"/>
            <w:shd w:val="clear" w:color="auto" w:fill="F6F6F6"/>
          </w:tcPr>
          <w:p>
            <w:pPr>
              <w:jc w:val="right"/>
              <w:ind w:right="299"/>
              <w:spacing w:after="0"/>
              <w:rPr>
                <w:sz w:val="20"/>
                <w:szCs w:val="20"/>
                <w:color w:val="auto"/>
              </w:rPr>
            </w:pPr>
            <w:r>
              <w:rPr>
                <w:rFonts w:ascii="Arial" w:cs="Arial" w:eastAsia="Arial" w:hAnsi="Arial"/>
                <w:sz w:val="16"/>
                <w:szCs w:val="16"/>
                <w:color w:val="auto"/>
                <w:w w:val="89"/>
              </w:rPr>
              <w:t>$</w:t>
            </w:r>
          </w:p>
        </w:tc>
        <w:tc>
          <w:tcPr>
            <w:tcW w:w="1580" w:type="dxa"/>
            <w:vAlign w:val="bottom"/>
            <w:shd w:val="clear" w:color="auto" w:fill="F6F6F6"/>
          </w:tcPr>
          <w:p>
            <w:pPr>
              <w:jc w:val="right"/>
              <w:spacing w:after="0"/>
              <w:rPr>
                <w:sz w:val="20"/>
                <w:szCs w:val="20"/>
                <w:color w:val="auto"/>
              </w:rPr>
            </w:pPr>
            <w:r>
              <w:rPr>
                <w:rFonts w:ascii="Arial" w:cs="Arial" w:eastAsia="Arial" w:hAnsi="Arial"/>
                <w:sz w:val="16"/>
                <w:szCs w:val="16"/>
                <w:color w:val="auto"/>
              </w:rPr>
              <w:t>1,214,926</w:t>
            </w:r>
          </w:p>
        </w:tc>
        <w:tc>
          <w:tcPr>
            <w:tcW w:w="80" w:type="dxa"/>
            <w:vAlign w:val="bottom"/>
            <w:shd w:val="clear" w:color="auto" w:fill="F6F6F6"/>
          </w:tcPr>
          <w:p>
            <w:pPr>
              <w:spacing w:after="0"/>
              <w:rPr>
                <w:sz w:val="20"/>
                <w:szCs w:val="20"/>
                <w:color w:val="auto"/>
              </w:rPr>
            </w:pPr>
          </w:p>
        </w:tc>
        <w:tc>
          <w:tcPr>
            <w:tcW w:w="480" w:type="dxa"/>
            <w:vAlign w:val="bottom"/>
            <w:shd w:val="clear" w:color="auto" w:fill="F6F6F6"/>
          </w:tcPr>
          <w:p>
            <w:pPr>
              <w:jc w:val="right"/>
              <w:ind w:right="299"/>
              <w:spacing w:after="0"/>
              <w:rPr>
                <w:sz w:val="20"/>
                <w:szCs w:val="20"/>
                <w:color w:val="auto"/>
              </w:rPr>
            </w:pPr>
            <w:r>
              <w:rPr>
                <w:rFonts w:ascii="Arial" w:cs="Arial" w:eastAsia="Arial" w:hAnsi="Arial"/>
                <w:sz w:val="16"/>
                <w:szCs w:val="16"/>
                <w:color w:val="auto"/>
                <w:w w:val="89"/>
              </w:rPr>
              <w:t>$</w:t>
            </w:r>
          </w:p>
        </w:tc>
        <w:tc>
          <w:tcPr>
            <w:tcW w:w="1580" w:type="dxa"/>
            <w:vAlign w:val="bottom"/>
            <w:shd w:val="clear" w:color="auto" w:fill="F6F6F6"/>
          </w:tcPr>
          <w:p>
            <w:pPr>
              <w:jc w:val="right"/>
              <w:spacing w:after="0"/>
              <w:rPr>
                <w:sz w:val="20"/>
                <w:szCs w:val="20"/>
                <w:color w:val="auto"/>
              </w:rPr>
            </w:pPr>
            <w:r>
              <w:rPr>
                <w:rFonts w:ascii="Arial" w:cs="Arial" w:eastAsia="Arial" w:hAnsi="Arial"/>
                <w:sz w:val="16"/>
                <w:szCs w:val="16"/>
                <w:color w:val="auto"/>
              </w:rPr>
              <w:t>1,296,072</w:t>
            </w:r>
          </w:p>
        </w:tc>
      </w:tr>
      <w:tr>
        <w:trPr>
          <w:trHeight w:val="236"/>
        </w:trPr>
        <w:tc>
          <w:tcPr>
            <w:tcW w:w="7040" w:type="dxa"/>
            <w:vAlign w:val="bottom"/>
            <w:tcBorders>
              <w:bottom w:val="single" w:sz="8" w:color="F6F6F6"/>
            </w:tcBorders>
          </w:tcPr>
          <w:p>
            <w:pPr>
              <w:ind w:left="20"/>
              <w:spacing w:after="0"/>
              <w:rPr>
                <w:sz w:val="20"/>
                <w:szCs w:val="20"/>
                <w:color w:val="auto"/>
              </w:rPr>
            </w:pPr>
            <w:r>
              <w:rPr>
                <w:rFonts w:ascii="Arial" w:cs="Arial" w:eastAsia="Arial" w:hAnsi="Arial"/>
                <w:sz w:val="16"/>
                <w:szCs w:val="16"/>
                <w:color w:val="auto"/>
              </w:rPr>
              <w:t>Cost of revenue</w:t>
            </w:r>
          </w:p>
        </w:tc>
        <w:tc>
          <w:tcPr>
            <w:tcW w:w="48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785,932</w:t>
            </w:r>
          </w:p>
        </w:tc>
        <w:tc>
          <w:tcPr>
            <w:tcW w:w="80" w:type="dxa"/>
            <w:vAlign w:val="bottom"/>
            <w:tcBorders>
              <w:bottom w:val="single" w:sz="8" w:color="F6F6F6"/>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824,404</w:t>
            </w:r>
          </w:p>
        </w:tc>
      </w:tr>
      <w:tr>
        <w:trPr>
          <w:trHeight w:val="243"/>
        </w:trPr>
        <w:tc>
          <w:tcPr>
            <w:tcW w:w="7040" w:type="dxa"/>
            <w:vAlign w:val="bottom"/>
            <w:shd w:val="clear" w:color="auto" w:fill="F6F6F6"/>
          </w:tcPr>
          <w:p>
            <w:pPr>
              <w:ind w:left="260"/>
              <w:spacing w:after="0"/>
              <w:rPr>
                <w:sz w:val="20"/>
                <w:szCs w:val="20"/>
                <w:color w:val="auto"/>
              </w:rPr>
            </w:pPr>
            <w:r>
              <w:rPr>
                <w:rFonts w:ascii="Arial" w:cs="Arial" w:eastAsia="Arial" w:hAnsi="Arial"/>
                <w:sz w:val="16"/>
                <w:szCs w:val="16"/>
                <w:b w:val="1"/>
                <w:bCs w:val="1"/>
                <w:color w:val="auto"/>
              </w:rPr>
              <w:t>Gross profit</w:t>
            </w:r>
          </w:p>
        </w:tc>
        <w:tc>
          <w:tcPr>
            <w:tcW w:w="480" w:type="dxa"/>
            <w:vAlign w:val="bottom"/>
            <w:shd w:val="clear" w:color="auto" w:fill="F6F6F6"/>
          </w:tcPr>
          <w:p>
            <w:pPr>
              <w:jc w:val="right"/>
              <w:ind w:right="299"/>
              <w:spacing w:after="0"/>
              <w:rPr>
                <w:sz w:val="20"/>
                <w:szCs w:val="20"/>
                <w:color w:val="auto"/>
              </w:rPr>
            </w:pPr>
            <w:r>
              <w:rPr>
                <w:rFonts w:ascii="Arial" w:cs="Arial" w:eastAsia="Arial" w:hAnsi="Arial"/>
                <w:sz w:val="16"/>
                <w:szCs w:val="16"/>
                <w:b w:val="1"/>
                <w:bCs w:val="1"/>
                <w:color w:val="auto"/>
                <w:w w:val="89"/>
              </w:rPr>
              <w:t>$</w:t>
            </w:r>
          </w:p>
        </w:tc>
        <w:tc>
          <w:tcPr>
            <w:tcW w:w="1580" w:type="dxa"/>
            <w:vAlign w:val="bottom"/>
            <w:shd w:val="clear" w:color="auto" w:fill="F6F6F6"/>
          </w:tcPr>
          <w:p>
            <w:pPr>
              <w:jc w:val="right"/>
              <w:ind w:right="59"/>
              <w:spacing w:after="0"/>
              <w:rPr>
                <w:sz w:val="20"/>
                <w:szCs w:val="20"/>
                <w:color w:val="auto"/>
              </w:rPr>
            </w:pPr>
            <w:r>
              <w:rPr>
                <w:rFonts w:ascii="Arial" w:cs="Arial" w:eastAsia="Arial" w:hAnsi="Arial"/>
                <w:sz w:val="16"/>
                <w:szCs w:val="16"/>
                <w:b w:val="1"/>
                <w:bCs w:val="1"/>
                <w:color w:val="auto"/>
              </w:rPr>
              <w:t>428,994</w:t>
            </w:r>
          </w:p>
        </w:tc>
        <w:tc>
          <w:tcPr>
            <w:tcW w:w="80" w:type="dxa"/>
            <w:vAlign w:val="bottom"/>
            <w:shd w:val="clear" w:color="auto" w:fill="F6F6F6"/>
          </w:tcPr>
          <w:p>
            <w:pPr>
              <w:spacing w:after="0"/>
              <w:rPr>
                <w:sz w:val="21"/>
                <w:szCs w:val="21"/>
                <w:color w:val="auto"/>
              </w:rPr>
            </w:pPr>
          </w:p>
        </w:tc>
        <w:tc>
          <w:tcPr>
            <w:tcW w:w="480" w:type="dxa"/>
            <w:vAlign w:val="bottom"/>
            <w:shd w:val="clear" w:color="auto" w:fill="F6F6F6"/>
          </w:tcPr>
          <w:p>
            <w:pPr>
              <w:jc w:val="right"/>
              <w:ind w:right="299"/>
              <w:spacing w:after="0"/>
              <w:rPr>
                <w:sz w:val="20"/>
                <w:szCs w:val="20"/>
                <w:color w:val="auto"/>
              </w:rPr>
            </w:pPr>
            <w:r>
              <w:rPr>
                <w:rFonts w:ascii="Arial" w:cs="Arial" w:eastAsia="Arial" w:hAnsi="Arial"/>
                <w:sz w:val="16"/>
                <w:szCs w:val="16"/>
                <w:b w:val="1"/>
                <w:bCs w:val="1"/>
                <w:color w:val="auto"/>
                <w:w w:val="89"/>
              </w:rPr>
              <w:t>$</w:t>
            </w:r>
          </w:p>
        </w:tc>
        <w:tc>
          <w:tcPr>
            <w:tcW w:w="1580" w:type="dxa"/>
            <w:vAlign w:val="bottom"/>
            <w:shd w:val="clear" w:color="auto" w:fill="F6F6F6"/>
          </w:tcPr>
          <w:p>
            <w:pPr>
              <w:jc w:val="right"/>
              <w:ind w:right="39"/>
              <w:spacing w:after="0"/>
              <w:rPr>
                <w:sz w:val="20"/>
                <w:szCs w:val="20"/>
                <w:color w:val="auto"/>
              </w:rPr>
            </w:pPr>
            <w:r>
              <w:rPr>
                <w:rFonts w:ascii="Arial" w:cs="Arial" w:eastAsia="Arial" w:hAnsi="Arial"/>
                <w:sz w:val="16"/>
                <w:szCs w:val="16"/>
                <w:b w:val="1"/>
                <w:bCs w:val="1"/>
                <w:color w:val="auto"/>
              </w:rPr>
              <w:t>471,668</w:t>
            </w:r>
          </w:p>
        </w:tc>
      </w:tr>
      <w:tr>
        <w:trPr>
          <w:trHeight w:val="235"/>
        </w:trPr>
        <w:tc>
          <w:tcPr>
            <w:tcW w:w="7040" w:type="dxa"/>
            <w:vAlign w:val="bottom"/>
          </w:tcPr>
          <w:p>
            <w:pPr>
              <w:ind w:left="20"/>
              <w:spacing w:after="0"/>
              <w:rPr>
                <w:sz w:val="20"/>
                <w:szCs w:val="20"/>
                <w:color w:val="auto"/>
              </w:rPr>
            </w:pPr>
            <w:r>
              <w:rPr>
                <w:rFonts w:ascii="Arial" w:cs="Arial" w:eastAsia="Arial" w:hAnsi="Arial"/>
                <w:sz w:val="16"/>
                <w:szCs w:val="16"/>
                <w:i w:val="1"/>
                <w:iCs w:val="1"/>
                <w:color w:val="auto"/>
              </w:rPr>
              <w:t>Operating expenses:</w:t>
            </w:r>
          </w:p>
        </w:tc>
        <w:tc>
          <w:tcPr>
            <w:tcW w:w="4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251"/>
        </w:trPr>
        <w:tc>
          <w:tcPr>
            <w:tcW w:w="7040" w:type="dxa"/>
            <w:vAlign w:val="bottom"/>
            <w:shd w:val="clear" w:color="auto" w:fill="F6F6F6"/>
          </w:tcPr>
          <w:p>
            <w:pPr>
              <w:ind w:left="260"/>
              <w:spacing w:after="0"/>
              <w:rPr>
                <w:sz w:val="20"/>
                <w:szCs w:val="20"/>
                <w:color w:val="auto"/>
              </w:rPr>
            </w:pPr>
            <w:r>
              <w:rPr>
                <w:rFonts w:ascii="Arial" w:cs="Arial" w:eastAsia="Arial" w:hAnsi="Arial"/>
                <w:sz w:val="16"/>
                <w:szCs w:val="16"/>
                <w:color w:val="auto"/>
              </w:rPr>
              <w:t>Selling, general and administrative expenses</w:t>
            </w:r>
          </w:p>
        </w:tc>
        <w:tc>
          <w:tcPr>
            <w:tcW w:w="480" w:type="dxa"/>
            <w:vAlign w:val="bottom"/>
            <w:shd w:val="clear" w:color="auto" w:fill="F6F6F6"/>
          </w:tcPr>
          <w:p>
            <w:pPr>
              <w:spacing w:after="0"/>
              <w:rPr>
                <w:sz w:val="21"/>
                <w:szCs w:val="21"/>
                <w:color w:val="auto"/>
              </w:rPr>
            </w:pPr>
          </w:p>
        </w:tc>
        <w:tc>
          <w:tcPr>
            <w:tcW w:w="1580" w:type="dxa"/>
            <w:vAlign w:val="bottom"/>
            <w:shd w:val="clear" w:color="auto" w:fill="F6F6F6"/>
          </w:tcPr>
          <w:p>
            <w:pPr>
              <w:jc w:val="right"/>
              <w:spacing w:after="0"/>
              <w:rPr>
                <w:sz w:val="20"/>
                <w:szCs w:val="20"/>
                <w:color w:val="auto"/>
              </w:rPr>
            </w:pPr>
            <w:r>
              <w:rPr>
                <w:rFonts w:ascii="Arial" w:cs="Arial" w:eastAsia="Arial" w:hAnsi="Arial"/>
                <w:sz w:val="16"/>
                <w:szCs w:val="16"/>
                <w:color w:val="auto"/>
              </w:rPr>
              <w:t>241,084</w:t>
            </w:r>
          </w:p>
        </w:tc>
        <w:tc>
          <w:tcPr>
            <w:tcW w:w="80" w:type="dxa"/>
            <w:vAlign w:val="bottom"/>
            <w:shd w:val="clear" w:color="auto" w:fill="F6F6F6"/>
          </w:tcPr>
          <w:p>
            <w:pPr>
              <w:spacing w:after="0"/>
              <w:rPr>
                <w:sz w:val="21"/>
                <w:szCs w:val="21"/>
                <w:color w:val="auto"/>
              </w:rPr>
            </w:pPr>
          </w:p>
        </w:tc>
        <w:tc>
          <w:tcPr>
            <w:tcW w:w="480" w:type="dxa"/>
            <w:vAlign w:val="bottom"/>
            <w:shd w:val="clear" w:color="auto" w:fill="F6F6F6"/>
          </w:tcPr>
          <w:p>
            <w:pPr>
              <w:spacing w:after="0"/>
              <w:rPr>
                <w:sz w:val="21"/>
                <w:szCs w:val="21"/>
                <w:color w:val="auto"/>
              </w:rPr>
            </w:pPr>
          </w:p>
        </w:tc>
        <w:tc>
          <w:tcPr>
            <w:tcW w:w="1580" w:type="dxa"/>
            <w:vAlign w:val="bottom"/>
            <w:shd w:val="clear" w:color="auto" w:fill="F6F6F6"/>
          </w:tcPr>
          <w:p>
            <w:pPr>
              <w:jc w:val="right"/>
              <w:spacing w:after="0"/>
              <w:rPr>
                <w:sz w:val="20"/>
                <w:szCs w:val="20"/>
                <w:color w:val="auto"/>
              </w:rPr>
            </w:pPr>
            <w:r>
              <w:rPr>
                <w:rFonts w:ascii="Arial" w:cs="Arial" w:eastAsia="Arial" w:hAnsi="Arial"/>
                <w:sz w:val="16"/>
                <w:szCs w:val="16"/>
                <w:color w:val="auto"/>
              </w:rPr>
              <w:t>270,337</w:t>
            </w:r>
          </w:p>
        </w:tc>
      </w:tr>
      <w:tr>
        <w:trPr>
          <w:trHeight w:val="235"/>
        </w:trPr>
        <w:tc>
          <w:tcPr>
            <w:tcW w:w="7040" w:type="dxa"/>
            <w:vAlign w:val="bottom"/>
          </w:tcPr>
          <w:p>
            <w:pPr>
              <w:ind w:left="260"/>
              <w:spacing w:after="0"/>
              <w:rPr>
                <w:sz w:val="20"/>
                <w:szCs w:val="20"/>
                <w:color w:val="auto"/>
              </w:rPr>
            </w:pPr>
            <w:r>
              <w:rPr>
                <w:rFonts w:ascii="Arial" w:cs="Arial" w:eastAsia="Arial" w:hAnsi="Arial"/>
                <w:sz w:val="16"/>
                <w:szCs w:val="16"/>
                <w:color w:val="auto"/>
              </w:rPr>
              <w:t>Amortization of acquired intangible assets</w:t>
            </w:r>
          </w:p>
        </w:tc>
        <w:tc>
          <w:tcPr>
            <w:tcW w:w="48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4,320</w:t>
            </w: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3,112</w:t>
            </w:r>
          </w:p>
        </w:tc>
      </w:tr>
      <w:tr>
        <w:trPr>
          <w:trHeight w:val="251"/>
        </w:trPr>
        <w:tc>
          <w:tcPr>
            <w:tcW w:w="7040" w:type="dxa"/>
            <w:vAlign w:val="bottom"/>
            <w:shd w:val="clear" w:color="auto" w:fill="F6F6F6"/>
          </w:tcPr>
          <w:p>
            <w:pPr>
              <w:ind w:left="260"/>
              <w:spacing w:after="0"/>
              <w:rPr>
                <w:sz w:val="20"/>
                <w:szCs w:val="20"/>
                <w:color w:val="auto"/>
              </w:rPr>
            </w:pPr>
            <w:r>
              <w:rPr>
                <w:rFonts w:ascii="Arial" w:cs="Arial" w:eastAsia="Arial" w:hAnsi="Arial"/>
                <w:sz w:val="16"/>
                <w:szCs w:val="16"/>
                <w:color w:val="auto"/>
              </w:rPr>
              <w:t>Other operating (income) expense, net</w:t>
            </w:r>
          </w:p>
        </w:tc>
        <w:tc>
          <w:tcPr>
            <w:tcW w:w="480" w:type="dxa"/>
            <w:vAlign w:val="bottom"/>
            <w:tcBorders>
              <w:bottom w:val="single" w:sz="8" w:color="auto"/>
            </w:tcBorders>
            <w:shd w:val="clear" w:color="auto" w:fill="F6F6F6"/>
          </w:tcPr>
          <w:p>
            <w:pPr>
              <w:spacing w:after="0"/>
              <w:rPr>
                <w:sz w:val="21"/>
                <w:szCs w:val="21"/>
                <w:color w:val="auto"/>
              </w:rPr>
            </w:pPr>
          </w:p>
        </w:tc>
        <w:tc>
          <w:tcPr>
            <w:tcW w:w="1580" w:type="dxa"/>
            <w:vAlign w:val="bottom"/>
            <w:tcBorders>
              <w:bottom w:val="single" w:sz="8" w:color="auto"/>
            </w:tcBorders>
            <w:shd w:val="clear" w:color="auto" w:fill="F6F6F6"/>
          </w:tcPr>
          <w:p>
            <w:pPr>
              <w:jc w:val="right"/>
              <w:spacing w:after="0"/>
              <w:rPr>
                <w:sz w:val="20"/>
                <w:szCs w:val="20"/>
                <w:color w:val="auto"/>
              </w:rPr>
            </w:pPr>
            <w:r>
              <w:rPr>
                <w:rFonts w:ascii="Arial" w:cs="Arial" w:eastAsia="Arial" w:hAnsi="Arial"/>
                <w:sz w:val="16"/>
                <w:szCs w:val="16"/>
                <w:color w:val="auto"/>
              </w:rPr>
              <w:t>(112)</w:t>
            </w:r>
          </w:p>
        </w:tc>
        <w:tc>
          <w:tcPr>
            <w:tcW w:w="80" w:type="dxa"/>
            <w:vAlign w:val="bottom"/>
            <w:shd w:val="clear" w:color="auto" w:fill="F6F6F6"/>
          </w:tcPr>
          <w:p>
            <w:pPr>
              <w:spacing w:after="0"/>
              <w:rPr>
                <w:sz w:val="21"/>
                <w:szCs w:val="21"/>
                <w:color w:val="auto"/>
              </w:rPr>
            </w:pPr>
          </w:p>
        </w:tc>
        <w:tc>
          <w:tcPr>
            <w:tcW w:w="480" w:type="dxa"/>
            <w:vAlign w:val="bottom"/>
            <w:tcBorders>
              <w:bottom w:val="single" w:sz="8" w:color="auto"/>
            </w:tcBorders>
            <w:shd w:val="clear" w:color="auto" w:fill="F6F6F6"/>
          </w:tcPr>
          <w:p>
            <w:pPr>
              <w:spacing w:after="0"/>
              <w:rPr>
                <w:sz w:val="21"/>
                <w:szCs w:val="21"/>
                <w:color w:val="auto"/>
              </w:rPr>
            </w:pPr>
          </w:p>
        </w:tc>
        <w:tc>
          <w:tcPr>
            <w:tcW w:w="1580" w:type="dxa"/>
            <w:vAlign w:val="bottom"/>
            <w:tcBorders>
              <w:bottom w:val="single" w:sz="8" w:color="auto"/>
            </w:tcBorders>
            <w:shd w:val="clear" w:color="auto" w:fill="F6F6F6"/>
          </w:tcPr>
          <w:p>
            <w:pPr>
              <w:jc w:val="right"/>
              <w:spacing w:after="0"/>
              <w:rPr>
                <w:sz w:val="20"/>
                <w:szCs w:val="20"/>
                <w:color w:val="auto"/>
              </w:rPr>
            </w:pPr>
            <w:r>
              <w:rPr>
                <w:rFonts w:ascii="Arial" w:cs="Arial" w:eastAsia="Arial" w:hAnsi="Arial"/>
                <w:sz w:val="16"/>
                <w:szCs w:val="16"/>
                <w:color w:val="auto"/>
              </w:rPr>
              <w:t>(364)</w:t>
            </w:r>
          </w:p>
        </w:tc>
      </w:tr>
      <w:tr>
        <w:trPr>
          <w:trHeight w:val="233"/>
        </w:trPr>
        <w:tc>
          <w:tcPr>
            <w:tcW w:w="7040" w:type="dxa"/>
            <w:vAlign w:val="bottom"/>
          </w:tcPr>
          <w:p>
            <w:pPr>
              <w:ind w:left="20"/>
              <w:spacing w:after="0"/>
              <w:rPr>
                <w:sz w:val="20"/>
                <w:szCs w:val="20"/>
                <w:color w:val="auto"/>
              </w:rPr>
            </w:pPr>
            <w:r>
              <w:rPr>
                <w:rFonts w:ascii="Arial" w:cs="Arial" w:eastAsia="Arial" w:hAnsi="Arial"/>
                <w:sz w:val="16"/>
                <w:szCs w:val="16"/>
                <w:b w:val="1"/>
                <w:bCs w:val="1"/>
                <w:color w:val="auto"/>
              </w:rPr>
              <w:t>Income from operations</w:t>
            </w:r>
          </w:p>
        </w:tc>
        <w:tc>
          <w:tcPr>
            <w:tcW w:w="480" w:type="dxa"/>
            <w:vAlign w:val="bottom"/>
          </w:tcPr>
          <w:p>
            <w:pPr>
              <w:jc w:val="right"/>
              <w:ind w:right="299"/>
              <w:spacing w:after="0"/>
              <w:rPr>
                <w:sz w:val="20"/>
                <w:szCs w:val="20"/>
                <w:color w:val="auto"/>
              </w:rPr>
            </w:pPr>
            <w:r>
              <w:rPr>
                <w:rFonts w:ascii="Arial" w:cs="Arial" w:eastAsia="Arial" w:hAnsi="Arial"/>
                <w:sz w:val="16"/>
                <w:szCs w:val="16"/>
                <w:b w:val="1"/>
                <w:bCs w:val="1"/>
                <w:color w:val="auto"/>
                <w:w w:val="89"/>
              </w:rPr>
              <w:t>$</w:t>
            </w:r>
          </w:p>
        </w:tc>
        <w:tc>
          <w:tcPr>
            <w:tcW w:w="1580" w:type="dxa"/>
            <w:vAlign w:val="bottom"/>
          </w:tcPr>
          <w:p>
            <w:pPr>
              <w:jc w:val="right"/>
              <w:ind w:right="59"/>
              <w:spacing w:after="0"/>
              <w:rPr>
                <w:sz w:val="20"/>
                <w:szCs w:val="20"/>
                <w:color w:val="auto"/>
              </w:rPr>
            </w:pPr>
            <w:r>
              <w:rPr>
                <w:rFonts w:ascii="Arial" w:cs="Arial" w:eastAsia="Arial" w:hAnsi="Arial"/>
                <w:sz w:val="16"/>
                <w:szCs w:val="16"/>
                <w:b w:val="1"/>
                <w:bCs w:val="1"/>
                <w:color w:val="auto"/>
              </w:rPr>
              <w:t>183,702</w:t>
            </w:r>
          </w:p>
        </w:tc>
        <w:tc>
          <w:tcPr>
            <w:tcW w:w="80" w:type="dxa"/>
            <w:vAlign w:val="bottom"/>
          </w:tcPr>
          <w:p>
            <w:pPr>
              <w:spacing w:after="0"/>
              <w:rPr>
                <w:sz w:val="20"/>
                <w:szCs w:val="20"/>
                <w:color w:val="auto"/>
              </w:rPr>
            </w:pPr>
          </w:p>
        </w:tc>
        <w:tc>
          <w:tcPr>
            <w:tcW w:w="480" w:type="dxa"/>
            <w:vAlign w:val="bottom"/>
          </w:tcPr>
          <w:p>
            <w:pPr>
              <w:jc w:val="right"/>
              <w:ind w:right="299"/>
              <w:spacing w:after="0"/>
              <w:rPr>
                <w:sz w:val="20"/>
                <w:szCs w:val="20"/>
                <w:color w:val="auto"/>
              </w:rPr>
            </w:pPr>
            <w:r>
              <w:rPr>
                <w:rFonts w:ascii="Arial" w:cs="Arial" w:eastAsia="Arial" w:hAnsi="Arial"/>
                <w:sz w:val="16"/>
                <w:szCs w:val="16"/>
                <w:b w:val="1"/>
                <w:bCs w:val="1"/>
                <w:color w:val="auto"/>
                <w:w w:val="89"/>
              </w:rPr>
              <w:t>$</w:t>
            </w:r>
          </w:p>
        </w:tc>
        <w:tc>
          <w:tcPr>
            <w:tcW w:w="1580" w:type="dxa"/>
            <w:vAlign w:val="bottom"/>
          </w:tcPr>
          <w:p>
            <w:pPr>
              <w:jc w:val="right"/>
              <w:ind w:right="39"/>
              <w:spacing w:after="0"/>
              <w:rPr>
                <w:sz w:val="20"/>
                <w:szCs w:val="20"/>
                <w:color w:val="auto"/>
              </w:rPr>
            </w:pPr>
            <w:r>
              <w:rPr>
                <w:rFonts w:ascii="Arial" w:cs="Arial" w:eastAsia="Arial" w:hAnsi="Arial"/>
                <w:sz w:val="16"/>
                <w:szCs w:val="16"/>
                <w:b w:val="1"/>
                <w:bCs w:val="1"/>
                <w:color w:val="auto"/>
              </w:rPr>
              <w:t>198,583</w:t>
            </w:r>
          </w:p>
        </w:tc>
      </w:tr>
      <w:tr>
        <w:trPr>
          <w:trHeight w:val="247"/>
        </w:trPr>
        <w:tc>
          <w:tcPr>
            <w:tcW w:w="7040" w:type="dxa"/>
            <w:vAlign w:val="bottom"/>
            <w:shd w:val="clear" w:color="auto" w:fill="F6F6F6"/>
          </w:tcPr>
          <w:p>
            <w:pPr>
              <w:ind w:left="20"/>
              <w:spacing w:after="0"/>
              <w:rPr>
                <w:sz w:val="20"/>
                <w:szCs w:val="20"/>
                <w:color w:val="auto"/>
              </w:rPr>
            </w:pPr>
            <w:r>
              <w:rPr>
                <w:rFonts w:ascii="Arial" w:cs="Arial" w:eastAsia="Arial" w:hAnsi="Arial"/>
                <w:sz w:val="16"/>
                <w:szCs w:val="16"/>
                <w:color w:val="auto"/>
              </w:rPr>
              <w:t>Foreign exchange gains, net</w:t>
            </w:r>
          </w:p>
        </w:tc>
        <w:tc>
          <w:tcPr>
            <w:tcW w:w="480" w:type="dxa"/>
            <w:vAlign w:val="bottom"/>
            <w:shd w:val="clear" w:color="auto" w:fill="F6F6F6"/>
          </w:tcPr>
          <w:p>
            <w:pPr>
              <w:spacing w:after="0"/>
              <w:rPr>
                <w:sz w:val="21"/>
                <w:szCs w:val="21"/>
                <w:color w:val="auto"/>
              </w:rPr>
            </w:pPr>
          </w:p>
        </w:tc>
        <w:tc>
          <w:tcPr>
            <w:tcW w:w="1580" w:type="dxa"/>
            <w:vAlign w:val="bottom"/>
            <w:shd w:val="clear" w:color="auto" w:fill="F6F6F6"/>
          </w:tcPr>
          <w:p>
            <w:pPr>
              <w:jc w:val="right"/>
              <w:spacing w:after="0"/>
              <w:rPr>
                <w:sz w:val="20"/>
                <w:szCs w:val="20"/>
                <w:color w:val="auto"/>
              </w:rPr>
            </w:pPr>
            <w:r>
              <w:rPr>
                <w:rFonts w:ascii="Arial" w:cs="Arial" w:eastAsia="Arial" w:hAnsi="Arial"/>
                <w:sz w:val="16"/>
                <w:szCs w:val="16"/>
                <w:color w:val="auto"/>
              </w:rPr>
              <w:t>1,289</w:t>
            </w:r>
          </w:p>
        </w:tc>
        <w:tc>
          <w:tcPr>
            <w:tcW w:w="80" w:type="dxa"/>
            <w:vAlign w:val="bottom"/>
            <w:shd w:val="clear" w:color="auto" w:fill="F6F6F6"/>
          </w:tcPr>
          <w:p>
            <w:pPr>
              <w:spacing w:after="0"/>
              <w:rPr>
                <w:sz w:val="21"/>
                <w:szCs w:val="21"/>
                <w:color w:val="auto"/>
              </w:rPr>
            </w:pPr>
          </w:p>
        </w:tc>
        <w:tc>
          <w:tcPr>
            <w:tcW w:w="480" w:type="dxa"/>
            <w:vAlign w:val="bottom"/>
            <w:shd w:val="clear" w:color="auto" w:fill="F6F6F6"/>
          </w:tcPr>
          <w:p>
            <w:pPr>
              <w:spacing w:after="0"/>
              <w:rPr>
                <w:sz w:val="21"/>
                <w:szCs w:val="21"/>
                <w:color w:val="auto"/>
              </w:rPr>
            </w:pPr>
          </w:p>
        </w:tc>
        <w:tc>
          <w:tcPr>
            <w:tcW w:w="1580" w:type="dxa"/>
            <w:vAlign w:val="bottom"/>
            <w:shd w:val="clear" w:color="auto" w:fill="F6F6F6"/>
          </w:tcPr>
          <w:p>
            <w:pPr>
              <w:jc w:val="right"/>
              <w:spacing w:after="0"/>
              <w:rPr>
                <w:sz w:val="20"/>
                <w:szCs w:val="20"/>
                <w:color w:val="auto"/>
              </w:rPr>
            </w:pPr>
            <w:r>
              <w:rPr>
                <w:rFonts w:ascii="Arial" w:cs="Arial" w:eastAsia="Arial" w:hAnsi="Arial"/>
                <w:sz w:val="16"/>
                <w:szCs w:val="16"/>
                <w:color w:val="auto"/>
              </w:rPr>
              <w:t>7,302</w:t>
            </w:r>
          </w:p>
        </w:tc>
      </w:tr>
      <w:tr>
        <w:trPr>
          <w:trHeight w:val="235"/>
        </w:trPr>
        <w:tc>
          <w:tcPr>
            <w:tcW w:w="7040" w:type="dxa"/>
            <w:vAlign w:val="bottom"/>
          </w:tcPr>
          <w:p>
            <w:pPr>
              <w:ind w:left="20"/>
              <w:spacing w:after="0"/>
              <w:rPr>
                <w:sz w:val="20"/>
                <w:szCs w:val="20"/>
                <w:color w:val="auto"/>
              </w:rPr>
            </w:pPr>
            <w:r>
              <w:rPr>
                <w:rFonts w:ascii="Arial" w:cs="Arial" w:eastAsia="Arial" w:hAnsi="Arial"/>
                <w:sz w:val="16"/>
                <w:szCs w:val="16"/>
                <w:color w:val="auto"/>
              </w:rPr>
              <w:t>Interest income (expense), net</w:t>
            </w:r>
          </w:p>
        </w:tc>
        <w:tc>
          <w:tcPr>
            <w:tcW w:w="48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(11,446)</w:t>
            </w: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(11,602)</w:t>
            </w:r>
          </w:p>
        </w:tc>
      </w:tr>
      <w:tr>
        <w:trPr>
          <w:trHeight w:val="251"/>
        </w:trPr>
        <w:tc>
          <w:tcPr>
            <w:tcW w:w="7040" w:type="dxa"/>
            <w:vAlign w:val="bottom"/>
            <w:shd w:val="clear" w:color="auto" w:fill="F6F6F6"/>
          </w:tcPr>
          <w:p>
            <w:pPr>
              <w:ind w:left="20"/>
              <w:spacing w:after="0"/>
              <w:rPr>
                <w:sz w:val="20"/>
                <w:szCs w:val="20"/>
                <w:color w:val="auto"/>
              </w:rPr>
            </w:pPr>
            <w:r>
              <w:rPr>
                <w:rFonts w:ascii="Arial" w:cs="Arial" w:eastAsia="Arial" w:hAnsi="Arial"/>
                <w:sz w:val="16"/>
                <w:szCs w:val="16"/>
                <w:color w:val="auto"/>
              </w:rPr>
              <w:t>Other income (expense), net</w:t>
            </w:r>
          </w:p>
        </w:tc>
        <w:tc>
          <w:tcPr>
            <w:tcW w:w="480" w:type="dxa"/>
            <w:vAlign w:val="bottom"/>
            <w:tcBorders>
              <w:bottom w:val="single" w:sz="8" w:color="auto"/>
            </w:tcBorders>
            <w:shd w:val="clear" w:color="auto" w:fill="F6F6F6"/>
          </w:tcPr>
          <w:p>
            <w:pPr>
              <w:spacing w:after="0"/>
              <w:rPr>
                <w:sz w:val="21"/>
                <w:szCs w:val="21"/>
                <w:color w:val="auto"/>
              </w:rPr>
            </w:pPr>
          </w:p>
        </w:tc>
        <w:tc>
          <w:tcPr>
            <w:tcW w:w="1580" w:type="dxa"/>
            <w:vAlign w:val="bottom"/>
            <w:tcBorders>
              <w:bottom w:val="single" w:sz="8" w:color="auto"/>
            </w:tcBorders>
            <w:shd w:val="clear" w:color="auto" w:fill="F6F6F6"/>
          </w:tcPr>
          <w:p>
            <w:pPr>
              <w:jc w:val="right"/>
              <w:spacing w:after="0"/>
              <w:rPr>
                <w:sz w:val="20"/>
                <w:szCs w:val="20"/>
                <w:color w:val="auto"/>
              </w:rPr>
            </w:pPr>
            <w:r>
              <w:rPr>
                <w:rFonts w:ascii="Arial" w:cs="Arial" w:eastAsia="Arial" w:hAnsi="Arial"/>
                <w:sz w:val="16"/>
                <w:szCs w:val="16"/>
                <w:color w:val="auto"/>
              </w:rPr>
              <w:t>1,678</w:t>
            </w:r>
          </w:p>
        </w:tc>
        <w:tc>
          <w:tcPr>
            <w:tcW w:w="80" w:type="dxa"/>
            <w:vAlign w:val="bottom"/>
            <w:shd w:val="clear" w:color="auto" w:fill="F6F6F6"/>
          </w:tcPr>
          <w:p>
            <w:pPr>
              <w:spacing w:after="0"/>
              <w:rPr>
                <w:sz w:val="21"/>
                <w:szCs w:val="21"/>
                <w:color w:val="auto"/>
              </w:rPr>
            </w:pPr>
          </w:p>
        </w:tc>
        <w:tc>
          <w:tcPr>
            <w:tcW w:w="480" w:type="dxa"/>
            <w:vAlign w:val="bottom"/>
            <w:tcBorders>
              <w:bottom w:val="single" w:sz="8" w:color="auto"/>
            </w:tcBorders>
            <w:shd w:val="clear" w:color="auto" w:fill="F6F6F6"/>
          </w:tcPr>
          <w:p>
            <w:pPr>
              <w:spacing w:after="0"/>
              <w:rPr>
                <w:sz w:val="21"/>
                <w:szCs w:val="21"/>
                <w:color w:val="auto"/>
              </w:rPr>
            </w:pPr>
          </w:p>
        </w:tc>
        <w:tc>
          <w:tcPr>
            <w:tcW w:w="1580" w:type="dxa"/>
            <w:vAlign w:val="bottom"/>
            <w:tcBorders>
              <w:bottom w:val="single" w:sz="8" w:color="auto"/>
            </w:tcBorders>
            <w:shd w:val="clear" w:color="auto" w:fill="F6F6F6"/>
          </w:tcPr>
          <w:p>
            <w:pPr>
              <w:jc w:val="right"/>
              <w:spacing w:after="0"/>
              <w:rPr>
                <w:sz w:val="20"/>
                <w:szCs w:val="20"/>
                <w:color w:val="auto"/>
              </w:rPr>
            </w:pPr>
            <w:r>
              <w:rPr>
                <w:rFonts w:ascii="Arial" w:cs="Arial" w:eastAsia="Arial" w:hAnsi="Arial"/>
                <w:sz w:val="16"/>
                <w:szCs w:val="16"/>
                <w:color w:val="auto"/>
              </w:rPr>
              <w:t>(289)</w:t>
            </w:r>
          </w:p>
        </w:tc>
      </w:tr>
      <w:tr>
        <w:trPr>
          <w:trHeight w:val="233"/>
        </w:trPr>
        <w:tc>
          <w:tcPr>
            <w:tcW w:w="7040" w:type="dxa"/>
            <w:vAlign w:val="bottom"/>
          </w:tcPr>
          <w:p>
            <w:pPr>
              <w:ind w:left="20"/>
              <w:spacing w:after="0"/>
              <w:rPr>
                <w:sz w:val="20"/>
                <w:szCs w:val="20"/>
                <w:color w:val="auto"/>
              </w:rPr>
            </w:pPr>
            <w:r>
              <w:rPr>
                <w:rFonts w:ascii="Arial" w:cs="Arial" w:eastAsia="Arial" w:hAnsi="Arial"/>
                <w:sz w:val="16"/>
                <w:szCs w:val="16"/>
                <w:b w:val="1"/>
                <w:bCs w:val="1"/>
                <w:color w:val="auto"/>
              </w:rPr>
              <w:t>Income before income tax expense</w:t>
            </w:r>
          </w:p>
        </w:tc>
        <w:tc>
          <w:tcPr>
            <w:tcW w:w="480" w:type="dxa"/>
            <w:vAlign w:val="bottom"/>
          </w:tcPr>
          <w:p>
            <w:pPr>
              <w:jc w:val="right"/>
              <w:ind w:right="299"/>
              <w:spacing w:after="0"/>
              <w:rPr>
                <w:sz w:val="20"/>
                <w:szCs w:val="20"/>
                <w:color w:val="auto"/>
              </w:rPr>
            </w:pPr>
            <w:r>
              <w:rPr>
                <w:rFonts w:ascii="Arial" w:cs="Arial" w:eastAsia="Arial" w:hAnsi="Arial"/>
                <w:sz w:val="16"/>
                <w:szCs w:val="16"/>
                <w:b w:val="1"/>
                <w:bCs w:val="1"/>
                <w:color w:val="auto"/>
                <w:w w:val="89"/>
              </w:rPr>
              <w:t>$</w:t>
            </w:r>
          </w:p>
        </w:tc>
        <w:tc>
          <w:tcPr>
            <w:tcW w:w="1580" w:type="dxa"/>
            <w:vAlign w:val="bottom"/>
          </w:tcPr>
          <w:p>
            <w:pPr>
              <w:jc w:val="right"/>
              <w:ind w:right="59"/>
              <w:spacing w:after="0"/>
              <w:rPr>
                <w:sz w:val="20"/>
                <w:szCs w:val="20"/>
                <w:color w:val="auto"/>
              </w:rPr>
            </w:pPr>
            <w:r>
              <w:rPr>
                <w:rFonts w:ascii="Arial" w:cs="Arial" w:eastAsia="Arial" w:hAnsi="Arial"/>
                <w:sz w:val="16"/>
                <w:szCs w:val="16"/>
                <w:b w:val="1"/>
                <w:bCs w:val="1"/>
                <w:color w:val="auto"/>
              </w:rPr>
              <w:t>175,223</w:t>
            </w:r>
          </w:p>
        </w:tc>
        <w:tc>
          <w:tcPr>
            <w:tcW w:w="80" w:type="dxa"/>
            <w:vAlign w:val="bottom"/>
          </w:tcPr>
          <w:p>
            <w:pPr>
              <w:spacing w:after="0"/>
              <w:rPr>
                <w:sz w:val="20"/>
                <w:szCs w:val="20"/>
                <w:color w:val="auto"/>
              </w:rPr>
            </w:pPr>
          </w:p>
        </w:tc>
        <w:tc>
          <w:tcPr>
            <w:tcW w:w="480" w:type="dxa"/>
            <w:vAlign w:val="bottom"/>
          </w:tcPr>
          <w:p>
            <w:pPr>
              <w:jc w:val="right"/>
              <w:ind w:right="299"/>
              <w:spacing w:after="0"/>
              <w:rPr>
                <w:sz w:val="20"/>
                <w:szCs w:val="20"/>
                <w:color w:val="auto"/>
              </w:rPr>
            </w:pPr>
            <w:r>
              <w:rPr>
                <w:rFonts w:ascii="Arial" w:cs="Arial" w:eastAsia="Arial" w:hAnsi="Arial"/>
                <w:sz w:val="16"/>
                <w:szCs w:val="16"/>
                <w:b w:val="1"/>
                <w:bCs w:val="1"/>
                <w:color w:val="auto"/>
                <w:w w:val="89"/>
              </w:rPr>
              <w:t>$</w:t>
            </w:r>
          </w:p>
        </w:tc>
        <w:tc>
          <w:tcPr>
            <w:tcW w:w="1580" w:type="dxa"/>
            <w:vAlign w:val="bottom"/>
          </w:tcPr>
          <w:p>
            <w:pPr>
              <w:jc w:val="right"/>
              <w:ind w:right="39"/>
              <w:spacing w:after="0"/>
              <w:rPr>
                <w:sz w:val="20"/>
                <w:szCs w:val="20"/>
                <w:color w:val="auto"/>
              </w:rPr>
            </w:pPr>
            <w:r>
              <w:rPr>
                <w:rFonts w:ascii="Arial" w:cs="Arial" w:eastAsia="Arial" w:hAnsi="Arial"/>
                <w:sz w:val="16"/>
                <w:szCs w:val="16"/>
                <w:b w:val="1"/>
                <w:bCs w:val="1"/>
                <w:color w:val="auto"/>
              </w:rPr>
              <w:t>193,994</w:t>
            </w:r>
          </w:p>
        </w:tc>
      </w:tr>
      <w:tr>
        <w:trPr>
          <w:trHeight w:val="247"/>
        </w:trPr>
        <w:tc>
          <w:tcPr>
            <w:tcW w:w="7040" w:type="dxa"/>
            <w:vAlign w:val="bottom"/>
            <w:shd w:val="clear" w:color="auto" w:fill="F6F6F6"/>
          </w:tcPr>
          <w:p>
            <w:pPr>
              <w:ind w:left="20"/>
              <w:spacing w:after="0"/>
              <w:rPr>
                <w:sz w:val="20"/>
                <w:szCs w:val="20"/>
                <w:color w:val="auto"/>
              </w:rPr>
            </w:pPr>
            <w:r>
              <w:rPr>
                <w:rFonts w:ascii="Arial" w:cs="Arial" w:eastAsia="Arial" w:hAnsi="Arial"/>
                <w:sz w:val="16"/>
                <w:szCs w:val="16"/>
                <w:color w:val="auto"/>
              </w:rPr>
              <w:t>Income tax expense</w:t>
            </w:r>
          </w:p>
        </w:tc>
        <w:tc>
          <w:tcPr>
            <w:tcW w:w="480" w:type="dxa"/>
            <w:vAlign w:val="bottom"/>
            <w:tcBorders>
              <w:bottom w:val="single" w:sz="8" w:color="auto"/>
            </w:tcBorders>
            <w:shd w:val="clear" w:color="auto" w:fill="F6F6F6"/>
          </w:tcPr>
          <w:p>
            <w:pPr>
              <w:spacing w:after="0"/>
              <w:rPr>
                <w:sz w:val="21"/>
                <w:szCs w:val="21"/>
                <w:color w:val="auto"/>
              </w:rPr>
            </w:pPr>
          </w:p>
        </w:tc>
        <w:tc>
          <w:tcPr>
            <w:tcW w:w="1580" w:type="dxa"/>
            <w:vAlign w:val="bottom"/>
            <w:tcBorders>
              <w:bottom w:val="single" w:sz="8" w:color="auto"/>
            </w:tcBorders>
            <w:shd w:val="clear" w:color="auto" w:fill="F6F6F6"/>
          </w:tcPr>
          <w:p>
            <w:pPr>
              <w:jc w:val="right"/>
              <w:spacing w:after="0"/>
              <w:rPr>
                <w:sz w:val="20"/>
                <w:szCs w:val="20"/>
                <w:color w:val="auto"/>
              </w:rPr>
            </w:pPr>
            <w:r>
              <w:rPr>
                <w:rFonts w:ascii="Arial" w:cs="Arial" w:eastAsia="Arial" w:hAnsi="Arial"/>
                <w:sz w:val="16"/>
                <w:szCs w:val="16"/>
                <w:color w:val="auto"/>
              </w:rPr>
              <w:t>44,370</w:t>
            </w:r>
          </w:p>
        </w:tc>
        <w:tc>
          <w:tcPr>
            <w:tcW w:w="80" w:type="dxa"/>
            <w:vAlign w:val="bottom"/>
            <w:shd w:val="clear" w:color="auto" w:fill="F6F6F6"/>
          </w:tcPr>
          <w:p>
            <w:pPr>
              <w:spacing w:after="0"/>
              <w:rPr>
                <w:sz w:val="21"/>
                <w:szCs w:val="21"/>
                <w:color w:val="auto"/>
              </w:rPr>
            </w:pPr>
          </w:p>
        </w:tc>
        <w:tc>
          <w:tcPr>
            <w:tcW w:w="480" w:type="dxa"/>
            <w:vAlign w:val="bottom"/>
            <w:tcBorders>
              <w:bottom w:val="single" w:sz="8" w:color="auto"/>
            </w:tcBorders>
            <w:shd w:val="clear" w:color="auto" w:fill="F6F6F6"/>
          </w:tcPr>
          <w:p>
            <w:pPr>
              <w:spacing w:after="0"/>
              <w:rPr>
                <w:sz w:val="21"/>
                <w:szCs w:val="21"/>
                <w:color w:val="auto"/>
              </w:rPr>
            </w:pPr>
          </w:p>
        </w:tc>
        <w:tc>
          <w:tcPr>
            <w:tcW w:w="1580" w:type="dxa"/>
            <w:vAlign w:val="bottom"/>
            <w:tcBorders>
              <w:bottom w:val="single" w:sz="8" w:color="auto"/>
            </w:tcBorders>
            <w:shd w:val="clear" w:color="auto" w:fill="F6F6F6"/>
          </w:tcPr>
          <w:p>
            <w:pPr>
              <w:jc w:val="right"/>
              <w:spacing w:after="0"/>
              <w:rPr>
                <w:sz w:val="20"/>
                <w:szCs w:val="20"/>
                <w:color w:val="auto"/>
              </w:rPr>
            </w:pPr>
            <w:r>
              <w:rPr>
                <w:rFonts w:ascii="Arial" w:cs="Arial" w:eastAsia="Arial" w:hAnsi="Arial"/>
                <w:sz w:val="16"/>
                <w:szCs w:val="16"/>
                <w:color w:val="auto"/>
              </w:rPr>
              <w:t>46,002</w:t>
            </w:r>
          </w:p>
        </w:tc>
      </w:tr>
      <w:tr>
        <w:trPr>
          <w:trHeight w:val="233"/>
        </w:trPr>
        <w:tc>
          <w:tcPr>
            <w:tcW w:w="7040" w:type="dxa"/>
            <w:vAlign w:val="bottom"/>
          </w:tcPr>
          <w:p>
            <w:pPr>
              <w:ind w:left="20"/>
              <w:spacing w:after="0"/>
              <w:rPr>
                <w:sz w:val="20"/>
                <w:szCs w:val="20"/>
                <w:color w:val="auto"/>
              </w:rPr>
            </w:pPr>
            <w:r>
              <w:rPr>
                <w:rFonts w:ascii="Arial" w:cs="Arial" w:eastAsia="Arial" w:hAnsi="Arial"/>
                <w:sz w:val="16"/>
                <w:szCs w:val="16"/>
                <w:b w:val="1"/>
                <w:bCs w:val="1"/>
                <w:color w:val="auto"/>
              </w:rPr>
              <w:t>Net income</w:t>
            </w:r>
          </w:p>
        </w:tc>
        <w:tc>
          <w:tcPr>
            <w:tcW w:w="4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w w:val="89"/>
              </w:rPr>
              <w:t>$</w:t>
            </w:r>
          </w:p>
        </w:tc>
        <w:tc>
          <w:tcPr>
            <w:tcW w:w="15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130,853</w:t>
            </w:r>
          </w:p>
        </w:tc>
        <w:tc>
          <w:tcPr>
            <w:tcW w:w="80" w:type="dxa"/>
            <w:vAlign w:val="bottom"/>
          </w:tcPr>
          <w:p>
            <w:pPr>
              <w:spacing w:after="0"/>
              <w:rPr>
                <w:sz w:val="20"/>
                <w:szCs w:val="20"/>
                <w:color w:val="auto"/>
              </w:rPr>
            </w:pPr>
          </w:p>
        </w:tc>
        <w:tc>
          <w:tcPr>
            <w:tcW w:w="4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w w:val="89"/>
              </w:rPr>
              <w:t>$</w:t>
            </w:r>
          </w:p>
        </w:tc>
        <w:tc>
          <w:tcPr>
            <w:tcW w:w="15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147,992</w:t>
            </w:r>
          </w:p>
        </w:tc>
      </w:tr>
      <w:tr>
        <w:trPr>
          <w:trHeight w:val="20"/>
        </w:trPr>
        <w:tc>
          <w:tcPr>
            <w:tcW w:w="7040" w:type="dxa"/>
            <w:vAlign w:val="bottom"/>
            <w:tcBorders>
              <w:bottom w:val="single" w:sz="8" w:color="F6F6F6"/>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F6F6F6"/>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r>
        <w:trPr>
          <w:trHeight w:val="214"/>
        </w:trPr>
        <w:tc>
          <w:tcPr>
            <w:tcW w:w="7040" w:type="dxa"/>
            <w:vAlign w:val="bottom"/>
            <w:shd w:val="clear" w:color="auto" w:fill="F6F6F6"/>
          </w:tcPr>
          <w:p>
            <w:pPr>
              <w:ind w:left="20"/>
              <w:spacing w:after="0"/>
              <w:rPr>
                <w:sz w:val="20"/>
                <w:szCs w:val="20"/>
                <w:color w:val="auto"/>
              </w:rPr>
            </w:pPr>
            <w:r>
              <w:rPr>
                <w:rFonts w:ascii="Arial" w:cs="Arial" w:eastAsia="Arial" w:hAnsi="Arial"/>
                <w:sz w:val="16"/>
                <w:szCs w:val="16"/>
                <w:color w:val="auto"/>
              </w:rPr>
              <w:t>Earnings per common share</w:t>
            </w:r>
          </w:p>
        </w:tc>
        <w:tc>
          <w:tcPr>
            <w:tcW w:w="480" w:type="dxa"/>
            <w:vAlign w:val="bottom"/>
            <w:shd w:val="clear" w:color="auto" w:fill="F6F6F6"/>
          </w:tcPr>
          <w:p>
            <w:pPr>
              <w:spacing w:after="0"/>
              <w:rPr>
                <w:sz w:val="18"/>
                <w:szCs w:val="18"/>
                <w:color w:val="auto"/>
              </w:rPr>
            </w:pPr>
          </w:p>
        </w:tc>
        <w:tc>
          <w:tcPr>
            <w:tcW w:w="1580" w:type="dxa"/>
            <w:vAlign w:val="bottom"/>
            <w:shd w:val="clear" w:color="auto" w:fill="F6F6F6"/>
          </w:tcPr>
          <w:p>
            <w:pPr>
              <w:spacing w:after="0"/>
              <w:rPr>
                <w:sz w:val="18"/>
                <w:szCs w:val="18"/>
                <w:color w:val="auto"/>
              </w:rPr>
            </w:pPr>
          </w:p>
        </w:tc>
        <w:tc>
          <w:tcPr>
            <w:tcW w:w="80" w:type="dxa"/>
            <w:vAlign w:val="bottom"/>
            <w:shd w:val="clear" w:color="auto" w:fill="F6F6F6"/>
          </w:tcPr>
          <w:p>
            <w:pPr>
              <w:spacing w:after="0"/>
              <w:rPr>
                <w:sz w:val="18"/>
                <w:szCs w:val="18"/>
                <w:color w:val="auto"/>
              </w:rPr>
            </w:pPr>
          </w:p>
        </w:tc>
        <w:tc>
          <w:tcPr>
            <w:tcW w:w="480" w:type="dxa"/>
            <w:vAlign w:val="bottom"/>
            <w:shd w:val="clear" w:color="auto" w:fill="F6F6F6"/>
          </w:tcPr>
          <w:p>
            <w:pPr>
              <w:spacing w:after="0"/>
              <w:rPr>
                <w:sz w:val="18"/>
                <w:szCs w:val="18"/>
                <w:color w:val="auto"/>
              </w:rPr>
            </w:pPr>
          </w:p>
        </w:tc>
        <w:tc>
          <w:tcPr>
            <w:tcW w:w="1580" w:type="dxa"/>
            <w:vAlign w:val="bottom"/>
            <w:shd w:val="clear" w:color="auto" w:fill="F6F6F6"/>
          </w:tcPr>
          <w:p>
            <w:pPr>
              <w:spacing w:after="0"/>
              <w:rPr>
                <w:sz w:val="18"/>
                <w:szCs w:val="18"/>
                <w:color w:val="auto"/>
              </w:rPr>
            </w:pPr>
          </w:p>
        </w:tc>
      </w:tr>
      <w:tr>
        <w:trPr>
          <w:trHeight w:val="235"/>
        </w:trPr>
        <w:tc>
          <w:tcPr>
            <w:tcW w:w="7040" w:type="dxa"/>
            <w:vAlign w:val="bottom"/>
          </w:tcPr>
          <w:p>
            <w:pPr>
              <w:ind w:left="260"/>
              <w:spacing w:after="0"/>
              <w:rPr>
                <w:sz w:val="20"/>
                <w:szCs w:val="20"/>
                <w:color w:val="auto"/>
              </w:rPr>
            </w:pPr>
            <w:r>
              <w:rPr>
                <w:rFonts w:ascii="Arial" w:cs="Arial" w:eastAsia="Arial" w:hAnsi="Arial"/>
                <w:sz w:val="16"/>
                <w:szCs w:val="16"/>
                <w:color w:val="auto"/>
              </w:rPr>
              <w:t>Basic</w:t>
            </w:r>
          </w:p>
        </w:tc>
        <w:tc>
          <w:tcPr>
            <w:tcW w:w="480" w:type="dxa"/>
            <w:vAlign w:val="bottom"/>
          </w:tcPr>
          <w:p>
            <w:pPr>
              <w:jc w:val="right"/>
              <w:ind w:right="299"/>
              <w:spacing w:after="0"/>
              <w:rPr>
                <w:sz w:val="20"/>
                <w:szCs w:val="20"/>
                <w:color w:val="auto"/>
              </w:rPr>
            </w:pPr>
            <w:r>
              <w:rPr>
                <w:rFonts w:ascii="Arial" w:cs="Arial" w:eastAsia="Arial" w:hAnsi="Arial"/>
                <w:sz w:val="16"/>
                <w:szCs w:val="16"/>
                <w:color w:val="auto"/>
                <w:w w:val="89"/>
              </w:rPr>
              <w:t>$</w:t>
            </w:r>
          </w:p>
        </w:tc>
        <w:tc>
          <w:tcPr>
            <w:tcW w:w="1580" w:type="dxa"/>
            <w:vAlign w:val="bottom"/>
          </w:tcPr>
          <w:p>
            <w:pPr>
              <w:jc w:val="right"/>
              <w:spacing w:after="0"/>
              <w:rPr>
                <w:sz w:val="20"/>
                <w:szCs w:val="20"/>
                <w:color w:val="auto"/>
              </w:rPr>
            </w:pPr>
            <w:r>
              <w:rPr>
                <w:rFonts w:ascii="Arial" w:cs="Arial" w:eastAsia="Arial" w:hAnsi="Arial"/>
                <w:sz w:val="16"/>
                <w:szCs w:val="16"/>
                <w:color w:val="auto"/>
              </w:rPr>
              <w:t>0.75</w:t>
            </w:r>
          </w:p>
        </w:tc>
        <w:tc>
          <w:tcPr>
            <w:tcW w:w="80" w:type="dxa"/>
            <w:vAlign w:val="bottom"/>
          </w:tcPr>
          <w:p>
            <w:pPr>
              <w:spacing w:after="0"/>
              <w:rPr>
                <w:sz w:val="20"/>
                <w:szCs w:val="20"/>
                <w:color w:val="auto"/>
              </w:rPr>
            </w:pPr>
          </w:p>
        </w:tc>
        <w:tc>
          <w:tcPr>
            <w:tcW w:w="480" w:type="dxa"/>
            <w:vAlign w:val="bottom"/>
          </w:tcPr>
          <w:p>
            <w:pPr>
              <w:jc w:val="right"/>
              <w:ind w:right="299"/>
              <w:spacing w:after="0"/>
              <w:rPr>
                <w:sz w:val="20"/>
                <w:szCs w:val="20"/>
                <w:color w:val="auto"/>
              </w:rPr>
            </w:pPr>
            <w:r>
              <w:rPr>
                <w:rFonts w:ascii="Arial" w:cs="Arial" w:eastAsia="Arial" w:hAnsi="Arial"/>
                <w:sz w:val="16"/>
                <w:szCs w:val="16"/>
                <w:color w:val="auto"/>
                <w:w w:val="89"/>
              </w:rPr>
              <w:t>$</w:t>
            </w:r>
          </w:p>
        </w:tc>
        <w:tc>
          <w:tcPr>
            <w:tcW w:w="1580" w:type="dxa"/>
            <w:vAlign w:val="bottom"/>
          </w:tcPr>
          <w:p>
            <w:pPr>
              <w:jc w:val="right"/>
              <w:spacing w:after="0"/>
              <w:rPr>
                <w:sz w:val="20"/>
                <w:szCs w:val="20"/>
                <w:color w:val="auto"/>
              </w:rPr>
            </w:pPr>
            <w:r>
              <w:rPr>
                <w:rFonts w:ascii="Arial" w:cs="Arial" w:eastAsia="Arial" w:hAnsi="Arial"/>
                <w:sz w:val="16"/>
                <w:szCs w:val="16"/>
                <w:color w:val="auto"/>
              </w:rPr>
              <w:t>0.87</w:t>
            </w:r>
          </w:p>
        </w:tc>
      </w:tr>
      <w:tr>
        <w:trPr>
          <w:trHeight w:val="251"/>
        </w:trPr>
        <w:tc>
          <w:tcPr>
            <w:tcW w:w="7040" w:type="dxa"/>
            <w:vAlign w:val="bottom"/>
            <w:shd w:val="clear" w:color="auto" w:fill="F6F6F6"/>
          </w:tcPr>
          <w:p>
            <w:pPr>
              <w:ind w:left="260"/>
              <w:spacing w:after="0"/>
              <w:rPr>
                <w:sz w:val="20"/>
                <w:szCs w:val="20"/>
                <w:color w:val="auto"/>
              </w:rPr>
            </w:pPr>
            <w:r>
              <w:rPr>
                <w:rFonts w:ascii="Arial" w:cs="Arial" w:eastAsia="Arial" w:hAnsi="Arial"/>
                <w:sz w:val="16"/>
                <w:szCs w:val="16"/>
                <w:color w:val="auto"/>
              </w:rPr>
              <w:t>Diluted</w:t>
            </w:r>
          </w:p>
        </w:tc>
        <w:tc>
          <w:tcPr>
            <w:tcW w:w="480" w:type="dxa"/>
            <w:vAlign w:val="bottom"/>
            <w:shd w:val="clear" w:color="auto" w:fill="F6F6F6"/>
          </w:tcPr>
          <w:p>
            <w:pPr>
              <w:jc w:val="right"/>
              <w:ind w:right="299"/>
              <w:spacing w:after="0"/>
              <w:rPr>
                <w:sz w:val="20"/>
                <w:szCs w:val="20"/>
                <w:color w:val="auto"/>
              </w:rPr>
            </w:pPr>
            <w:r>
              <w:rPr>
                <w:rFonts w:ascii="Arial" w:cs="Arial" w:eastAsia="Arial" w:hAnsi="Arial"/>
                <w:sz w:val="16"/>
                <w:szCs w:val="16"/>
                <w:color w:val="auto"/>
                <w:w w:val="89"/>
              </w:rPr>
              <w:t>$</w:t>
            </w:r>
          </w:p>
        </w:tc>
        <w:tc>
          <w:tcPr>
            <w:tcW w:w="1580" w:type="dxa"/>
            <w:vAlign w:val="bottom"/>
            <w:shd w:val="clear" w:color="auto" w:fill="F6F6F6"/>
          </w:tcPr>
          <w:p>
            <w:pPr>
              <w:jc w:val="right"/>
              <w:spacing w:after="0"/>
              <w:rPr>
                <w:sz w:val="20"/>
                <w:szCs w:val="20"/>
                <w:color w:val="auto"/>
              </w:rPr>
            </w:pPr>
            <w:r>
              <w:rPr>
                <w:rFonts w:ascii="Arial" w:cs="Arial" w:eastAsia="Arial" w:hAnsi="Arial"/>
                <w:sz w:val="16"/>
                <w:szCs w:val="16"/>
                <w:color w:val="auto"/>
              </w:rPr>
              <w:t>0.73</w:t>
            </w:r>
          </w:p>
        </w:tc>
        <w:tc>
          <w:tcPr>
            <w:tcW w:w="80" w:type="dxa"/>
            <w:vAlign w:val="bottom"/>
            <w:shd w:val="clear" w:color="auto" w:fill="F6F6F6"/>
          </w:tcPr>
          <w:p>
            <w:pPr>
              <w:spacing w:after="0"/>
              <w:rPr>
                <w:sz w:val="21"/>
                <w:szCs w:val="21"/>
                <w:color w:val="auto"/>
              </w:rPr>
            </w:pPr>
          </w:p>
        </w:tc>
        <w:tc>
          <w:tcPr>
            <w:tcW w:w="480" w:type="dxa"/>
            <w:vAlign w:val="bottom"/>
            <w:shd w:val="clear" w:color="auto" w:fill="F6F6F6"/>
          </w:tcPr>
          <w:p>
            <w:pPr>
              <w:jc w:val="right"/>
              <w:ind w:right="299"/>
              <w:spacing w:after="0"/>
              <w:rPr>
                <w:sz w:val="20"/>
                <w:szCs w:val="20"/>
                <w:color w:val="auto"/>
              </w:rPr>
            </w:pPr>
            <w:r>
              <w:rPr>
                <w:rFonts w:ascii="Arial" w:cs="Arial" w:eastAsia="Arial" w:hAnsi="Arial"/>
                <w:sz w:val="16"/>
                <w:szCs w:val="16"/>
                <w:color w:val="auto"/>
                <w:w w:val="89"/>
              </w:rPr>
              <w:t>$</w:t>
            </w:r>
          </w:p>
        </w:tc>
        <w:tc>
          <w:tcPr>
            <w:tcW w:w="1580" w:type="dxa"/>
            <w:vAlign w:val="bottom"/>
            <w:shd w:val="clear" w:color="auto" w:fill="F6F6F6"/>
          </w:tcPr>
          <w:p>
            <w:pPr>
              <w:jc w:val="right"/>
              <w:spacing w:after="0"/>
              <w:rPr>
                <w:sz w:val="20"/>
                <w:szCs w:val="20"/>
                <w:color w:val="auto"/>
              </w:rPr>
            </w:pPr>
            <w:r>
              <w:rPr>
                <w:rFonts w:ascii="Arial" w:cs="Arial" w:eastAsia="Arial" w:hAnsi="Arial"/>
                <w:sz w:val="16"/>
                <w:szCs w:val="16"/>
                <w:color w:val="auto"/>
              </w:rPr>
              <w:t>0.86</w:t>
            </w:r>
          </w:p>
        </w:tc>
      </w:tr>
      <w:tr>
        <w:trPr>
          <w:trHeight w:val="235"/>
        </w:trPr>
        <w:tc>
          <w:tcPr>
            <w:tcW w:w="7040" w:type="dxa"/>
            <w:vAlign w:val="bottom"/>
          </w:tcPr>
          <w:p>
            <w:pPr>
              <w:ind w:left="20"/>
              <w:spacing w:after="0"/>
              <w:rPr>
                <w:sz w:val="20"/>
                <w:szCs w:val="20"/>
                <w:color w:val="auto"/>
              </w:rPr>
            </w:pPr>
            <w:r>
              <w:rPr>
                <w:rFonts w:ascii="Arial" w:cs="Arial" w:eastAsia="Arial" w:hAnsi="Arial"/>
                <w:sz w:val="16"/>
                <w:szCs w:val="16"/>
                <w:color w:val="auto"/>
              </w:rPr>
              <w:t>Weighted average number of common shares used in computing earnings per common share</w:t>
            </w:r>
          </w:p>
        </w:tc>
        <w:tc>
          <w:tcPr>
            <w:tcW w:w="4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251"/>
        </w:trPr>
        <w:tc>
          <w:tcPr>
            <w:tcW w:w="7040" w:type="dxa"/>
            <w:vAlign w:val="bottom"/>
            <w:shd w:val="clear" w:color="auto" w:fill="F6F6F6"/>
          </w:tcPr>
          <w:p>
            <w:pPr>
              <w:ind w:left="260"/>
              <w:spacing w:after="0"/>
              <w:rPr>
                <w:sz w:val="20"/>
                <w:szCs w:val="20"/>
                <w:color w:val="auto"/>
              </w:rPr>
            </w:pPr>
            <w:r>
              <w:rPr>
                <w:rFonts w:ascii="Arial" w:cs="Arial" w:eastAsia="Arial" w:hAnsi="Arial"/>
                <w:sz w:val="16"/>
                <w:szCs w:val="16"/>
                <w:color w:val="auto"/>
              </w:rPr>
              <w:t>Basic</w:t>
            </w:r>
          </w:p>
        </w:tc>
        <w:tc>
          <w:tcPr>
            <w:tcW w:w="480" w:type="dxa"/>
            <w:vAlign w:val="bottom"/>
            <w:shd w:val="clear" w:color="auto" w:fill="F6F6F6"/>
          </w:tcPr>
          <w:p>
            <w:pPr>
              <w:spacing w:after="0"/>
              <w:rPr>
                <w:sz w:val="21"/>
                <w:szCs w:val="21"/>
                <w:color w:val="auto"/>
              </w:rPr>
            </w:pPr>
          </w:p>
        </w:tc>
        <w:tc>
          <w:tcPr>
            <w:tcW w:w="1580" w:type="dxa"/>
            <w:vAlign w:val="bottom"/>
            <w:shd w:val="clear" w:color="auto" w:fill="F6F6F6"/>
          </w:tcPr>
          <w:p>
            <w:pPr>
              <w:jc w:val="right"/>
              <w:spacing w:after="0"/>
              <w:rPr>
                <w:sz w:val="20"/>
                <w:szCs w:val="20"/>
                <w:color w:val="auto"/>
              </w:rPr>
            </w:pPr>
            <w:r>
              <w:rPr>
                <w:rFonts w:ascii="Arial" w:cs="Arial" w:eastAsia="Arial" w:hAnsi="Arial"/>
                <w:sz w:val="16"/>
                <w:szCs w:val="16"/>
                <w:color w:val="auto"/>
              </w:rPr>
              <w:t>175,528,308</w:t>
            </w:r>
          </w:p>
        </w:tc>
        <w:tc>
          <w:tcPr>
            <w:tcW w:w="80" w:type="dxa"/>
            <w:vAlign w:val="bottom"/>
            <w:shd w:val="clear" w:color="auto" w:fill="F6F6F6"/>
          </w:tcPr>
          <w:p>
            <w:pPr>
              <w:spacing w:after="0"/>
              <w:rPr>
                <w:sz w:val="21"/>
                <w:szCs w:val="21"/>
                <w:color w:val="auto"/>
              </w:rPr>
            </w:pPr>
          </w:p>
        </w:tc>
        <w:tc>
          <w:tcPr>
            <w:tcW w:w="480" w:type="dxa"/>
            <w:vAlign w:val="bottom"/>
            <w:shd w:val="clear" w:color="auto" w:fill="F6F6F6"/>
          </w:tcPr>
          <w:p>
            <w:pPr>
              <w:spacing w:after="0"/>
              <w:rPr>
                <w:sz w:val="21"/>
                <w:szCs w:val="21"/>
                <w:color w:val="auto"/>
              </w:rPr>
            </w:pPr>
          </w:p>
        </w:tc>
        <w:tc>
          <w:tcPr>
            <w:tcW w:w="1580" w:type="dxa"/>
            <w:vAlign w:val="bottom"/>
            <w:shd w:val="clear" w:color="auto" w:fill="F6F6F6"/>
          </w:tcPr>
          <w:p>
            <w:pPr>
              <w:jc w:val="right"/>
              <w:spacing w:after="0"/>
              <w:rPr>
                <w:sz w:val="20"/>
                <w:szCs w:val="20"/>
                <w:color w:val="auto"/>
              </w:rPr>
            </w:pPr>
            <w:r>
              <w:rPr>
                <w:rFonts w:ascii="Arial" w:cs="Arial" w:eastAsia="Arial" w:hAnsi="Arial"/>
                <w:sz w:val="16"/>
                <w:szCs w:val="16"/>
                <w:color w:val="auto"/>
              </w:rPr>
              <w:t>170,307,477</w:t>
            </w:r>
          </w:p>
        </w:tc>
      </w:tr>
      <w:tr>
        <w:trPr>
          <w:trHeight w:val="228"/>
        </w:trPr>
        <w:tc>
          <w:tcPr>
            <w:tcW w:w="7040" w:type="dxa"/>
            <w:vAlign w:val="bottom"/>
          </w:tcPr>
          <w:p>
            <w:pPr>
              <w:ind w:left="260"/>
              <w:spacing w:after="0"/>
              <w:rPr>
                <w:sz w:val="20"/>
                <w:szCs w:val="20"/>
                <w:color w:val="auto"/>
              </w:rPr>
            </w:pPr>
            <w:r>
              <w:rPr>
                <w:rFonts w:ascii="Arial" w:cs="Arial" w:eastAsia="Arial" w:hAnsi="Arial"/>
                <w:sz w:val="16"/>
                <w:szCs w:val="16"/>
                <w:color w:val="auto"/>
              </w:rPr>
              <w:t>Diluted</w:t>
            </w:r>
          </w:p>
        </w:tc>
        <w:tc>
          <w:tcPr>
            <w:tcW w:w="4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178,435,142</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172,845,179</w:t>
            </w:r>
          </w:p>
        </w:tc>
      </w:tr>
    </w:tbl>
    <w:p>
      <w:pPr>
        <w:sectPr>
          <w:pgSz w:w="11900" w:h="16838" w:orient="portrait"/>
          <w:cols w:equalWidth="0" w:num="1">
            <w:col w:w="11240"/>
          </w:cols>
          <w:pgMar w:left="320" w:top="440" w:right="339" w:bottom="1440" w:gutter="0" w:footer="0" w:header="0"/>
        </w:sectPr>
      </w:pPr>
    </w:p>
    <w:bookmarkStart w:id="8" w:name="page9"/>
    <w:bookmarkEnd w:id="8"/>
    <w:p>
      <w:pPr>
        <w:ind w:left="3740"/>
        <w:spacing w:after="0"/>
        <w:rPr>
          <w:sz w:val="20"/>
          <w:szCs w:val="20"/>
          <w:color w:val="auto"/>
        </w:rPr>
      </w:pPr>
      <w:r>
        <w:rPr>
          <w:rFonts w:ascii="Arial" w:cs="Arial" w:eastAsia="Arial" w:hAnsi="Arial"/>
          <w:sz w:val="20"/>
          <w:szCs w:val="20"/>
          <w:b w:val="1"/>
          <w:bCs w:val="1"/>
          <w:color w:val="auto"/>
        </w:rPr>
        <w:t>GE</w:t>
      </w:r>
      <w:r>
        <w:rPr>
          <w:rFonts w:ascii="Arial" w:cs="Arial" w:eastAsia="Arial" w:hAnsi="Arial"/>
          <w:sz w:val="17"/>
          <w:szCs w:val="17"/>
          <w:b w:val="1"/>
          <w:bCs w:val="1"/>
          <w:color w:val="auto"/>
        </w:rPr>
        <w:t>NPACT LIMITED AND ITS SUBSIDIARIES</w:t>
      </w:r>
    </w:p>
    <w:p>
      <w:pPr>
        <w:spacing w:after="0" w:line="36"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240" w:type="dxa"/>
            <w:vAlign w:val="bottom"/>
          </w:tcPr>
          <w:p>
            <w:pPr>
              <w:spacing w:after="0"/>
              <w:rPr>
                <w:sz w:val="17"/>
                <w:szCs w:val="17"/>
                <w:color w:val="auto"/>
              </w:rPr>
            </w:pPr>
          </w:p>
        </w:tc>
        <w:tc>
          <w:tcPr>
            <w:tcW w:w="3260" w:type="dxa"/>
            <w:vAlign w:val="bottom"/>
            <w:tcBorders>
              <w:bottom w:val="single" w:sz="8" w:color="auto"/>
            </w:tcBorders>
            <w:gridSpan w:val="4"/>
          </w:tcPr>
          <w:p>
            <w:pPr>
              <w:jc w:val="right"/>
              <w:ind w:right="128"/>
              <w:spacing w:after="0"/>
              <w:rPr>
                <w:sz w:val="20"/>
                <w:szCs w:val="20"/>
                <w:color w:val="auto"/>
              </w:rPr>
            </w:pPr>
            <w:r>
              <w:rPr>
                <w:rFonts w:ascii="Arial" w:cs="Arial" w:eastAsia="Arial" w:hAnsi="Arial"/>
                <w:sz w:val="14"/>
                <w:szCs w:val="14"/>
                <w:b w:val="1"/>
                <w:bCs w:val="1"/>
                <w:color w:val="auto"/>
              </w:rPr>
              <w:t>Three months ended March 31,</w:t>
            </w:r>
          </w:p>
        </w:tc>
        <w:tc>
          <w:tcPr>
            <w:tcW w:w="7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7240" w:type="dxa"/>
            <w:vAlign w:val="bottom"/>
            <w:tcBorders>
              <w:bottom w:val="single" w:sz="8" w:color="F6F6F6"/>
            </w:tcBorders>
          </w:tcPr>
          <w:p>
            <w:pPr>
              <w:spacing w:after="0"/>
              <w:rPr>
                <w:sz w:val="19"/>
                <w:szCs w:val="19"/>
                <w:color w:val="auto"/>
              </w:rPr>
            </w:pPr>
          </w:p>
        </w:tc>
        <w:tc>
          <w:tcPr>
            <w:tcW w:w="12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2025</w:t>
            </w:r>
          </w:p>
        </w:tc>
        <w:tc>
          <w:tcPr>
            <w:tcW w:w="720" w:type="dxa"/>
            <w:vAlign w:val="bottom"/>
            <w:tcBorders>
              <w:bottom w:val="single" w:sz="8" w:color="auto"/>
            </w:tcBorders>
          </w:tcPr>
          <w:p>
            <w:pPr>
              <w:spacing w:after="0"/>
              <w:rPr>
                <w:sz w:val="19"/>
                <w:szCs w:val="19"/>
                <w:color w:val="auto"/>
              </w:rPr>
            </w:pPr>
          </w:p>
        </w:tc>
        <w:tc>
          <w:tcPr>
            <w:tcW w:w="80" w:type="dxa"/>
            <w:vAlign w:val="bottom"/>
            <w:tcBorders>
              <w:bottom w:val="single" w:sz="8" w:color="F6F6F6"/>
            </w:tcBorders>
          </w:tcPr>
          <w:p>
            <w:pPr>
              <w:spacing w:after="0"/>
              <w:rPr>
                <w:sz w:val="19"/>
                <w:szCs w:val="19"/>
                <w:color w:val="auto"/>
              </w:rPr>
            </w:pPr>
          </w:p>
        </w:tc>
        <w:tc>
          <w:tcPr>
            <w:tcW w:w="12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2026</w:t>
            </w:r>
          </w:p>
        </w:tc>
        <w:tc>
          <w:tcPr>
            <w:tcW w:w="7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240" w:type="dxa"/>
            <w:vAlign w:val="bottom"/>
            <w:shd w:val="clear" w:color="auto" w:fill="F6F6F6"/>
          </w:tcPr>
          <w:p>
            <w:pPr>
              <w:ind w:left="20"/>
              <w:spacing w:after="0"/>
              <w:rPr>
                <w:sz w:val="20"/>
                <w:szCs w:val="20"/>
                <w:color w:val="auto"/>
              </w:rPr>
            </w:pPr>
            <w:r>
              <w:rPr>
                <w:rFonts w:ascii="Arial" w:cs="Arial" w:eastAsia="Arial" w:hAnsi="Arial"/>
                <w:sz w:val="14"/>
                <w:szCs w:val="14"/>
                <w:b w:val="1"/>
                <w:bCs w:val="1"/>
                <w:color w:val="auto"/>
              </w:rPr>
              <w:t>Operating activities</w:t>
            </w:r>
          </w:p>
        </w:tc>
        <w:tc>
          <w:tcPr>
            <w:tcW w:w="1240" w:type="dxa"/>
            <w:vAlign w:val="bottom"/>
            <w:shd w:val="clear" w:color="auto" w:fill="F6F6F6"/>
          </w:tcPr>
          <w:p>
            <w:pPr>
              <w:spacing w:after="0"/>
              <w:rPr>
                <w:sz w:val="18"/>
                <w:szCs w:val="18"/>
                <w:color w:val="auto"/>
              </w:rPr>
            </w:pPr>
          </w:p>
        </w:tc>
        <w:tc>
          <w:tcPr>
            <w:tcW w:w="720" w:type="dxa"/>
            <w:vAlign w:val="bottom"/>
            <w:shd w:val="clear" w:color="auto" w:fill="F6F6F6"/>
          </w:tcPr>
          <w:p>
            <w:pPr>
              <w:spacing w:after="0"/>
              <w:rPr>
                <w:sz w:val="18"/>
                <w:szCs w:val="18"/>
                <w:color w:val="auto"/>
              </w:rPr>
            </w:pPr>
          </w:p>
        </w:tc>
        <w:tc>
          <w:tcPr>
            <w:tcW w:w="80" w:type="dxa"/>
            <w:vAlign w:val="bottom"/>
            <w:shd w:val="clear" w:color="auto" w:fill="F6F6F6"/>
          </w:tcPr>
          <w:p>
            <w:pPr>
              <w:spacing w:after="0"/>
              <w:rPr>
                <w:sz w:val="18"/>
                <w:szCs w:val="18"/>
                <w:color w:val="auto"/>
              </w:rPr>
            </w:pPr>
          </w:p>
        </w:tc>
        <w:tc>
          <w:tcPr>
            <w:tcW w:w="1220" w:type="dxa"/>
            <w:vAlign w:val="bottom"/>
            <w:shd w:val="clear" w:color="auto" w:fill="F6F6F6"/>
          </w:tcPr>
          <w:p>
            <w:pPr>
              <w:spacing w:after="0"/>
              <w:rPr>
                <w:sz w:val="18"/>
                <w:szCs w:val="18"/>
                <w:color w:val="auto"/>
              </w:rPr>
            </w:pPr>
          </w:p>
        </w:tc>
        <w:tc>
          <w:tcPr>
            <w:tcW w:w="740" w:type="dxa"/>
            <w:vAlign w:val="bottom"/>
            <w:shd w:val="clear" w:color="auto" w:fill="F6F6F6"/>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724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1240" w:type="dxa"/>
            <w:vAlign w:val="bottom"/>
          </w:tcPr>
          <w:p>
            <w:pPr>
              <w:jc w:val="right"/>
              <w:ind w:right="1068"/>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130,853</w:t>
            </w:r>
          </w:p>
        </w:tc>
        <w:tc>
          <w:tcPr>
            <w:tcW w:w="80" w:type="dxa"/>
            <w:vAlign w:val="bottom"/>
          </w:tcPr>
          <w:p>
            <w:pPr>
              <w:spacing w:after="0"/>
              <w:rPr>
                <w:sz w:val="18"/>
                <w:szCs w:val="18"/>
                <w:color w:val="auto"/>
              </w:rPr>
            </w:pPr>
          </w:p>
        </w:tc>
        <w:tc>
          <w:tcPr>
            <w:tcW w:w="1220" w:type="dxa"/>
            <w:vAlign w:val="bottom"/>
          </w:tcPr>
          <w:p>
            <w:pPr>
              <w:jc w:val="right"/>
              <w:ind w:right="1048"/>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147,992</w:t>
            </w:r>
          </w:p>
        </w:tc>
        <w:tc>
          <w:tcPr>
            <w:tcW w:w="0" w:type="dxa"/>
            <w:vAlign w:val="bottom"/>
          </w:tcPr>
          <w:p>
            <w:pPr>
              <w:spacing w:after="0"/>
              <w:rPr>
                <w:sz w:val="1"/>
                <w:szCs w:val="1"/>
                <w:color w:val="auto"/>
              </w:rPr>
            </w:pPr>
          </w:p>
        </w:tc>
      </w:tr>
      <w:tr>
        <w:trPr>
          <w:trHeight w:val="22"/>
        </w:trPr>
        <w:tc>
          <w:tcPr>
            <w:tcW w:w="7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240" w:type="dxa"/>
            <w:vAlign w:val="bottom"/>
            <w:tcBorders>
              <w:bottom w:val="single" w:sz="8" w:color="F6F6F6"/>
            </w:tcBorders>
            <w:shd w:val="clear" w:color="auto" w:fill="F6F6F6"/>
          </w:tcPr>
          <w:p>
            <w:pPr>
              <w:ind w:left="20"/>
              <w:spacing w:after="0"/>
              <w:rPr>
                <w:sz w:val="20"/>
                <w:szCs w:val="20"/>
                <w:color w:val="auto"/>
              </w:rPr>
            </w:pPr>
            <w:r>
              <w:rPr>
                <w:rFonts w:ascii="Arial" w:cs="Arial" w:eastAsia="Arial" w:hAnsi="Arial"/>
                <w:sz w:val="14"/>
                <w:szCs w:val="14"/>
                <w:i w:val="1"/>
                <w:iCs w:val="1"/>
                <w:color w:val="auto"/>
              </w:rPr>
              <w:t>Adjustments to reconcile net income to net cash (used for) provided by operating activities:</w:t>
            </w:r>
          </w:p>
        </w:tc>
        <w:tc>
          <w:tcPr>
            <w:tcW w:w="1240" w:type="dxa"/>
            <w:vAlign w:val="bottom"/>
            <w:tcBorders>
              <w:bottom w:val="single" w:sz="8" w:color="F6F6F6"/>
            </w:tcBorders>
            <w:shd w:val="clear" w:color="auto" w:fill="F6F6F6"/>
          </w:tcPr>
          <w:p>
            <w:pPr>
              <w:spacing w:after="0"/>
              <w:rPr>
                <w:sz w:val="18"/>
                <w:szCs w:val="18"/>
                <w:color w:val="auto"/>
              </w:rPr>
            </w:pPr>
          </w:p>
        </w:tc>
        <w:tc>
          <w:tcPr>
            <w:tcW w:w="720" w:type="dxa"/>
            <w:vAlign w:val="bottom"/>
            <w:tcBorders>
              <w:bottom w:val="single" w:sz="8" w:color="F6F6F6"/>
            </w:tcBorders>
            <w:shd w:val="clear" w:color="auto" w:fill="F6F6F6"/>
          </w:tcPr>
          <w:p>
            <w:pPr>
              <w:spacing w:after="0"/>
              <w:rPr>
                <w:sz w:val="18"/>
                <w:szCs w:val="18"/>
                <w:color w:val="auto"/>
              </w:rPr>
            </w:pPr>
          </w:p>
        </w:tc>
        <w:tc>
          <w:tcPr>
            <w:tcW w:w="80" w:type="dxa"/>
            <w:vAlign w:val="bottom"/>
            <w:tcBorders>
              <w:bottom w:val="single" w:sz="8" w:color="F6F6F6"/>
            </w:tcBorders>
            <w:shd w:val="clear" w:color="auto" w:fill="F6F6F6"/>
          </w:tcPr>
          <w:p>
            <w:pPr>
              <w:spacing w:after="0"/>
              <w:rPr>
                <w:sz w:val="18"/>
                <w:szCs w:val="18"/>
                <w:color w:val="auto"/>
              </w:rPr>
            </w:pPr>
          </w:p>
        </w:tc>
        <w:tc>
          <w:tcPr>
            <w:tcW w:w="1220" w:type="dxa"/>
            <w:vAlign w:val="bottom"/>
            <w:tcBorders>
              <w:bottom w:val="single" w:sz="8" w:color="F6F6F6"/>
            </w:tcBorders>
            <w:shd w:val="clear" w:color="auto" w:fill="F6F6F6"/>
          </w:tcPr>
          <w:p>
            <w:pPr>
              <w:spacing w:after="0"/>
              <w:rPr>
                <w:sz w:val="18"/>
                <w:szCs w:val="18"/>
                <w:color w:val="auto"/>
              </w:rPr>
            </w:pPr>
          </w:p>
        </w:tc>
        <w:tc>
          <w:tcPr>
            <w:tcW w:w="740" w:type="dxa"/>
            <w:vAlign w:val="bottom"/>
            <w:tcBorders>
              <w:bottom w:val="single" w:sz="8" w:color="F6F6F6"/>
            </w:tcBorders>
            <w:shd w:val="clear" w:color="auto" w:fill="F6F6F6"/>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7240" w:type="dxa"/>
            <w:vAlign w:val="bottom"/>
          </w:tcPr>
          <w:p>
            <w:pPr>
              <w:ind w:left="20"/>
              <w:spacing w:after="0"/>
              <w:rPr>
                <w:sz w:val="20"/>
                <w:szCs w:val="20"/>
                <w:color w:val="auto"/>
              </w:rPr>
            </w:pPr>
            <w:r>
              <w:rPr>
                <w:rFonts w:ascii="Arial" w:cs="Arial" w:eastAsia="Arial" w:hAnsi="Arial"/>
                <w:sz w:val="14"/>
                <w:szCs w:val="14"/>
                <w:color w:val="auto"/>
              </w:rPr>
              <w:t>Depreciation and amortization</w:t>
            </w:r>
          </w:p>
        </w:tc>
        <w:tc>
          <w:tcPr>
            <w:tcW w:w="1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16,892</w:t>
            </w:r>
          </w:p>
        </w:tc>
        <w:tc>
          <w:tcPr>
            <w:tcW w:w="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17,733</w:t>
            </w:r>
          </w:p>
        </w:tc>
        <w:tc>
          <w:tcPr>
            <w:tcW w:w="0" w:type="dxa"/>
            <w:vAlign w:val="bottom"/>
          </w:tcPr>
          <w:p>
            <w:pPr>
              <w:spacing w:after="0"/>
              <w:rPr>
                <w:sz w:val="1"/>
                <w:szCs w:val="1"/>
                <w:color w:val="auto"/>
              </w:rPr>
            </w:pPr>
          </w:p>
        </w:tc>
      </w:tr>
      <w:tr>
        <w:trPr>
          <w:trHeight w:val="22"/>
        </w:trPr>
        <w:tc>
          <w:tcPr>
            <w:tcW w:w="7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240" w:type="dxa"/>
            <w:vAlign w:val="bottom"/>
            <w:tcBorders>
              <w:bottom w:val="single" w:sz="8" w:color="F6F6F6"/>
            </w:tcBorders>
            <w:shd w:val="clear" w:color="auto" w:fill="F6F6F6"/>
          </w:tcPr>
          <w:p>
            <w:pPr>
              <w:ind w:left="20"/>
              <w:spacing w:after="0"/>
              <w:rPr>
                <w:sz w:val="20"/>
                <w:szCs w:val="20"/>
                <w:color w:val="auto"/>
              </w:rPr>
            </w:pPr>
            <w:r>
              <w:rPr>
                <w:rFonts w:ascii="Arial" w:cs="Arial" w:eastAsia="Arial" w:hAnsi="Arial"/>
                <w:sz w:val="14"/>
                <w:szCs w:val="14"/>
                <w:color w:val="auto"/>
              </w:rPr>
              <w:t>Amortization of debt issuance costs</w:t>
            </w:r>
          </w:p>
        </w:tc>
        <w:tc>
          <w:tcPr>
            <w:tcW w:w="1240" w:type="dxa"/>
            <w:vAlign w:val="bottom"/>
            <w:tcBorders>
              <w:bottom w:val="single" w:sz="8" w:color="F6F6F6"/>
            </w:tcBorders>
            <w:shd w:val="clear" w:color="auto" w:fill="F6F6F6"/>
          </w:tcPr>
          <w:p>
            <w:pPr>
              <w:spacing w:after="0"/>
              <w:rPr>
                <w:sz w:val="18"/>
                <w:szCs w:val="18"/>
                <w:color w:val="auto"/>
              </w:rPr>
            </w:pPr>
          </w:p>
        </w:tc>
        <w:tc>
          <w:tcPr>
            <w:tcW w:w="720" w:type="dxa"/>
            <w:vAlign w:val="bottom"/>
            <w:tcBorders>
              <w:bottom w:val="single" w:sz="8" w:color="F6F6F6"/>
            </w:tcBorders>
            <w:shd w:val="clear" w:color="auto" w:fill="F6F6F6"/>
          </w:tcPr>
          <w:p>
            <w:pPr>
              <w:jc w:val="right"/>
              <w:spacing w:after="0"/>
              <w:rPr>
                <w:sz w:val="20"/>
                <w:szCs w:val="20"/>
                <w:color w:val="auto"/>
              </w:rPr>
            </w:pPr>
            <w:r>
              <w:rPr>
                <w:rFonts w:ascii="Arial" w:cs="Arial" w:eastAsia="Arial" w:hAnsi="Arial"/>
                <w:sz w:val="14"/>
                <w:szCs w:val="14"/>
                <w:color w:val="auto"/>
              </w:rPr>
              <w:t>550</w:t>
            </w:r>
          </w:p>
        </w:tc>
        <w:tc>
          <w:tcPr>
            <w:tcW w:w="80" w:type="dxa"/>
            <w:vAlign w:val="bottom"/>
            <w:tcBorders>
              <w:bottom w:val="single" w:sz="8" w:color="F6F6F6"/>
            </w:tcBorders>
            <w:shd w:val="clear" w:color="auto" w:fill="F6F6F6"/>
          </w:tcPr>
          <w:p>
            <w:pPr>
              <w:spacing w:after="0"/>
              <w:rPr>
                <w:sz w:val="18"/>
                <w:szCs w:val="18"/>
                <w:color w:val="auto"/>
              </w:rPr>
            </w:pPr>
          </w:p>
        </w:tc>
        <w:tc>
          <w:tcPr>
            <w:tcW w:w="1220" w:type="dxa"/>
            <w:vAlign w:val="bottom"/>
            <w:tcBorders>
              <w:bottom w:val="single" w:sz="8" w:color="F6F6F6"/>
            </w:tcBorders>
            <w:shd w:val="clear" w:color="auto" w:fill="F6F6F6"/>
          </w:tcPr>
          <w:p>
            <w:pPr>
              <w:spacing w:after="0"/>
              <w:rPr>
                <w:sz w:val="18"/>
                <w:szCs w:val="18"/>
                <w:color w:val="auto"/>
              </w:rPr>
            </w:pPr>
          </w:p>
        </w:tc>
        <w:tc>
          <w:tcPr>
            <w:tcW w:w="740" w:type="dxa"/>
            <w:vAlign w:val="bottom"/>
            <w:tcBorders>
              <w:bottom w:val="single" w:sz="8" w:color="F6F6F6"/>
            </w:tcBorders>
            <w:shd w:val="clear" w:color="auto" w:fill="F6F6F6"/>
          </w:tcPr>
          <w:p>
            <w:pPr>
              <w:jc w:val="right"/>
              <w:spacing w:after="0"/>
              <w:rPr>
                <w:sz w:val="20"/>
                <w:szCs w:val="20"/>
                <w:color w:val="auto"/>
              </w:rPr>
            </w:pPr>
            <w:r>
              <w:rPr>
                <w:rFonts w:ascii="Arial" w:cs="Arial" w:eastAsia="Arial" w:hAnsi="Arial"/>
                <w:sz w:val="14"/>
                <w:szCs w:val="14"/>
                <w:color w:val="auto"/>
              </w:rPr>
              <w:t>770</w:t>
            </w:r>
          </w:p>
        </w:tc>
        <w:tc>
          <w:tcPr>
            <w:tcW w:w="0" w:type="dxa"/>
            <w:vAlign w:val="bottom"/>
          </w:tcPr>
          <w:p>
            <w:pPr>
              <w:spacing w:after="0"/>
              <w:rPr>
                <w:sz w:val="1"/>
                <w:szCs w:val="1"/>
                <w:color w:val="auto"/>
              </w:rPr>
            </w:pPr>
          </w:p>
        </w:tc>
      </w:tr>
      <w:tr>
        <w:trPr>
          <w:trHeight w:val="208"/>
        </w:trPr>
        <w:tc>
          <w:tcPr>
            <w:tcW w:w="7240" w:type="dxa"/>
            <w:vAlign w:val="bottom"/>
          </w:tcPr>
          <w:p>
            <w:pPr>
              <w:ind w:left="20"/>
              <w:spacing w:after="0"/>
              <w:rPr>
                <w:sz w:val="20"/>
                <w:szCs w:val="20"/>
                <w:color w:val="auto"/>
              </w:rPr>
            </w:pPr>
            <w:r>
              <w:rPr>
                <w:rFonts w:ascii="Arial" w:cs="Arial" w:eastAsia="Arial" w:hAnsi="Arial"/>
                <w:sz w:val="14"/>
                <w:szCs w:val="14"/>
                <w:color w:val="auto"/>
              </w:rPr>
              <w:t>Amortization of acquired intangible assets</w:t>
            </w:r>
          </w:p>
        </w:tc>
        <w:tc>
          <w:tcPr>
            <w:tcW w:w="1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4,320</w:t>
            </w:r>
          </w:p>
        </w:tc>
        <w:tc>
          <w:tcPr>
            <w:tcW w:w="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3,112</w:t>
            </w:r>
          </w:p>
        </w:tc>
        <w:tc>
          <w:tcPr>
            <w:tcW w:w="0" w:type="dxa"/>
            <w:vAlign w:val="bottom"/>
          </w:tcPr>
          <w:p>
            <w:pPr>
              <w:spacing w:after="0"/>
              <w:rPr>
                <w:sz w:val="1"/>
                <w:szCs w:val="1"/>
                <w:color w:val="auto"/>
              </w:rPr>
            </w:pPr>
          </w:p>
        </w:tc>
      </w:tr>
      <w:tr>
        <w:trPr>
          <w:trHeight w:val="22"/>
        </w:trPr>
        <w:tc>
          <w:tcPr>
            <w:tcW w:w="7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240" w:type="dxa"/>
            <w:vAlign w:val="bottom"/>
            <w:tcBorders>
              <w:bottom w:val="single" w:sz="8" w:color="F6F6F6"/>
            </w:tcBorders>
            <w:shd w:val="clear" w:color="auto" w:fill="F6F6F6"/>
          </w:tcPr>
          <w:p>
            <w:pPr>
              <w:ind w:left="20"/>
              <w:spacing w:after="0"/>
              <w:rPr>
                <w:sz w:val="20"/>
                <w:szCs w:val="20"/>
                <w:color w:val="auto"/>
              </w:rPr>
            </w:pPr>
            <w:r>
              <w:rPr>
                <w:rFonts w:ascii="Arial" w:cs="Arial" w:eastAsia="Arial" w:hAnsi="Arial"/>
                <w:sz w:val="14"/>
                <w:szCs w:val="14"/>
                <w:color w:val="auto"/>
              </w:rPr>
              <w:t>Allowance for credit losses</w:t>
            </w:r>
          </w:p>
        </w:tc>
        <w:tc>
          <w:tcPr>
            <w:tcW w:w="1240" w:type="dxa"/>
            <w:vAlign w:val="bottom"/>
            <w:tcBorders>
              <w:bottom w:val="single" w:sz="8" w:color="F6F6F6"/>
            </w:tcBorders>
            <w:shd w:val="clear" w:color="auto" w:fill="F6F6F6"/>
          </w:tcPr>
          <w:p>
            <w:pPr>
              <w:spacing w:after="0"/>
              <w:rPr>
                <w:sz w:val="18"/>
                <w:szCs w:val="18"/>
                <w:color w:val="auto"/>
              </w:rPr>
            </w:pPr>
          </w:p>
        </w:tc>
        <w:tc>
          <w:tcPr>
            <w:tcW w:w="720" w:type="dxa"/>
            <w:vAlign w:val="bottom"/>
            <w:tcBorders>
              <w:bottom w:val="single" w:sz="8" w:color="F6F6F6"/>
            </w:tcBorders>
            <w:shd w:val="clear" w:color="auto" w:fill="F6F6F6"/>
          </w:tcPr>
          <w:p>
            <w:pPr>
              <w:jc w:val="right"/>
              <w:spacing w:after="0"/>
              <w:rPr>
                <w:sz w:val="20"/>
                <w:szCs w:val="20"/>
                <w:color w:val="auto"/>
              </w:rPr>
            </w:pPr>
            <w:r>
              <w:rPr>
                <w:rFonts w:ascii="Arial" w:cs="Arial" w:eastAsia="Arial" w:hAnsi="Arial"/>
                <w:sz w:val="14"/>
                <w:szCs w:val="14"/>
                <w:color w:val="auto"/>
              </w:rPr>
              <w:t>7,294</w:t>
            </w:r>
          </w:p>
        </w:tc>
        <w:tc>
          <w:tcPr>
            <w:tcW w:w="80" w:type="dxa"/>
            <w:vAlign w:val="bottom"/>
            <w:tcBorders>
              <w:bottom w:val="single" w:sz="8" w:color="F6F6F6"/>
            </w:tcBorders>
            <w:shd w:val="clear" w:color="auto" w:fill="F6F6F6"/>
          </w:tcPr>
          <w:p>
            <w:pPr>
              <w:spacing w:after="0"/>
              <w:rPr>
                <w:sz w:val="18"/>
                <w:szCs w:val="18"/>
                <w:color w:val="auto"/>
              </w:rPr>
            </w:pPr>
          </w:p>
        </w:tc>
        <w:tc>
          <w:tcPr>
            <w:tcW w:w="1220" w:type="dxa"/>
            <w:vAlign w:val="bottom"/>
            <w:tcBorders>
              <w:bottom w:val="single" w:sz="8" w:color="F6F6F6"/>
            </w:tcBorders>
            <w:shd w:val="clear" w:color="auto" w:fill="F6F6F6"/>
          </w:tcPr>
          <w:p>
            <w:pPr>
              <w:spacing w:after="0"/>
              <w:rPr>
                <w:sz w:val="18"/>
                <w:szCs w:val="18"/>
                <w:color w:val="auto"/>
              </w:rPr>
            </w:pPr>
          </w:p>
        </w:tc>
        <w:tc>
          <w:tcPr>
            <w:tcW w:w="740" w:type="dxa"/>
            <w:vAlign w:val="bottom"/>
            <w:tcBorders>
              <w:bottom w:val="single" w:sz="8" w:color="F6F6F6"/>
            </w:tcBorders>
            <w:shd w:val="clear" w:color="auto" w:fill="F6F6F6"/>
          </w:tcPr>
          <w:p>
            <w:pPr>
              <w:jc w:val="right"/>
              <w:spacing w:after="0"/>
              <w:rPr>
                <w:sz w:val="20"/>
                <w:szCs w:val="20"/>
                <w:color w:val="auto"/>
              </w:rPr>
            </w:pPr>
            <w:r>
              <w:rPr>
                <w:rFonts w:ascii="Arial" w:cs="Arial" w:eastAsia="Arial" w:hAnsi="Arial"/>
                <w:sz w:val="14"/>
                <w:szCs w:val="14"/>
                <w:color w:val="auto"/>
              </w:rPr>
              <w:t>4,719</w:t>
            </w:r>
          </w:p>
        </w:tc>
        <w:tc>
          <w:tcPr>
            <w:tcW w:w="0" w:type="dxa"/>
            <w:vAlign w:val="bottom"/>
          </w:tcPr>
          <w:p>
            <w:pPr>
              <w:spacing w:after="0"/>
              <w:rPr>
                <w:sz w:val="1"/>
                <w:szCs w:val="1"/>
                <w:color w:val="auto"/>
              </w:rPr>
            </w:pPr>
          </w:p>
        </w:tc>
      </w:tr>
      <w:tr>
        <w:trPr>
          <w:trHeight w:val="208"/>
        </w:trPr>
        <w:tc>
          <w:tcPr>
            <w:tcW w:w="7240" w:type="dxa"/>
            <w:vAlign w:val="bottom"/>
          </w:tcPr>
          <w:p>
            <w:pPr>
              <w:ind w:left="20"/>
              <w:spacing w:after="0"/>
              <w:rPr>
                <w:sz w:val="20"/>
                <w:szCs w:val="20"/>
                <w:color w:val="auto"/>
              </w:rPr>
            </w:pPr>
            <w:r>
              <w:rPr>
                <w:rFonts w:ascii="Arial" w:cs="Arial" w:eastAsia="Arial" w:hAnsi="Arial"/>
                <w:sz w:val="14"/>
                <w:szCs w:val="14"/>
                <w:color w:val="auto"/>
              </w:rPr>
              <w:t>Unrealized (gain)/loss on revaluation of foreign currency assets/liabilities</w:t>
            </w:r>
          </w:p>
        </w:tc>
        <w:tc>
          <w:tcPr>
            <w:tcW w:w="1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3,207</w:t>
            </w:r>
          </w:p>
        </w:tc>
        <w:tc>
          <w:tcPr>
            <w:tcW w:w="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(3,400)</w:t>
            </w:r>
          </w:p>
        </w:tc>
        <w:tc>
          <w:tcPr>
            <w:tcW w:w="0" w:type="dxa"/>
            <w:vAlign w:val="bottom"/>
          </w:tcPr>
          <w:p>
            <w:pPr>
              <w:spacing w:after="0"/>
              <w:rPr>
                <w:sz w:val="1"/>
                <w:szCs w:val="1"/>
                <w:color w:val="auto"/>
              </w:rPr>
            </w:pPr>
          </w:p>
        </w:tc>
      </w:tr>
      <w:tr>
        <w:trPr>
          <w:trHeight w:val="22"/>
        </w:trPr>
        <w:tc>
          <w:tcPr>
            <w:tcW w:w="7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240" w:type="dxa"/>
            <w:vAlign w:val="bottom"/>
            <w:tcBorders>
              <w:bottom w:val="single" w:sz="8" w:color="F6F6F6"/>
            </w:tcBorders>
            <w:shd w:val="clear" w:color="auto" w:fill="F6F6F6"/>
          </w:tcPr>
          <w:p>
            <w:pPr>
              <w:ind w:left="20"/>
              <w:spacing w:after="0"/>
              <w:rPr>
                <w:sz w:val="20"/>
                <w:szCs w:val="20"/>
                <w:color w:val="auto"/>
              </w:rPr>
            </w:pPr>
            <w:r>
              <w:rPr>
                <w:rFonts w:ascii="Arial" w:cs="Arial" w:eastAsia="Arial" w:hAnsi="Arial"/>
                <w:sz w:val="14"/>
                <w:szCs w:val="14"/>
                <w:color w:val="auto"/>
              </w:rPr>
              <w:t>Stock-based compensation expense</w:t>
            </w:r>
          </w:p>
        </w:tc>
        <w:tc>
          <w:tcPr>
            <w:tcW w:w="1240" w:type="dxa"/>
            <w:vAlign w:val="bottom"/>
            <w:tcBorders>
              <w:bottom w:val="single" w:sz="8" w:color="F6F6F6"/>
            </w:tcBorders>
            <w:shd w:val="clear" w:color="auto" w:fill="F6F6F6"/>
          </w:tcPr>
          <w:p>
            <w:pPr>
              <w:spacing w:after="0"/>
              <w:rPr>
                <w:sz w:val="18"/>
                <w:szCs w:val="18"/>
                <w:color w:val="auto"/>
              </w:rPr>
            </w:pPr>
          </w:p>
        </w:tc>
        <w:tc>
          <w:tcPr>
            <w:tcW w:w="720" w:type="dxa"/>
            <w:vAlign w:val="bottom"/>
            <w:tcBorders>
              <w:bottom w:val="single" w:sz="8" w:color="F6F6F6"/>
            </w:tcBorders>
            <w:shd w:val="clear" w:color="auto" w:fill="F6F6F6"/>
          </w:tcPr>
          <w:p>
            <w:pPr>
              <w:jc w:val="right"/>
              <w:spacing w:after="0"/>
              <w:rPr>
                <w:sz w:val="20"/>
                <w:szCs w:val="20"/>
                <w:color w:val="auto"/>
              </w:rPr>
            </w:pPr>
            <w:r>
              <w:rPr>
                <w:rFonts w:ascii="Arial" w:cs="Arial" w:eastAsia="Arial" w:hAnsi="Arial"/>
                <w:sz w:val="14"/>
                <w:szCs w:val="14"/>
                <w:color w:val="auto"/>
              </w:rPr>
              <w:t>20,036</w:t>
            </w:r>
          </w:p>
        </w:tc>
        <w:tc>
          <w:tcPr>
            <w:tcW w:w="80" w:type="dxa"/>
            <w:vAlign w:val="bottom"/>
            <w:tcBorders>
              <w:bottom w:val="single" w:sz="8" w:color="F6F6F6"/>
            </w:tcBorders>
            <w:shd w:val="clear" w:color="auto" w:fill="F6F6F6"/>
          </w:tcPr>
          <w:p>
            <w:pPr>
              <w:spacing w:after="0"/>
              <w:rPr>
                <w:sz w:val="18"/>
                <w:szCs w:val="18"/>
                <w:color w:val="auto"/>
              </w:rPr>
            </w:pPr>
          </w:p>
        </w:tc>
        <w:tc>
          <w:tcPr>
            <w:tcW w:w="1220" w:type="dxa"/>
            <w:vAlign w:val="bottom"/>
            <w:tcBorders>
              <w:bottom w:val="single" w:sz="8" w:color="F6F6F6"/>
            </w:tcBorders>
            <w:shd w:val="clear" w:color="auto" w:fill="F6F6F6"/>
          </w:tcPr>
          <w:p>
            <w:pPr>
              <w:spacing w:after="0"/>
              <w:rPr>
                <w:sz w:val="18"/>
                <w:szCs w:val="18"/>
                <w:color w:val="auto"/>
              </w:rPr>
            </w:pPr>
          </w:p>
        </w:tc>
        <w:tc>
          <w:tcPr>
            <w:tcW w:w="740" w:type="dxa"/>
            <w:vAlign w:val="bottom"/>
            <w:tcBorders>
              <w:bottom w:val="single" w:sz="8" w:color="F6F6F6"/>
            </w:tcBorders>
            <w:shd w:val="clear" w:color="auto" w:fill="F6F6F6"/>
          </w:tcPr>
          <w:p>
            <w:pPr>
              <w:jc w:val="right"/>
              <w:spacing w:after="0"/>
              <w:rPr>
                <w:sz w:val="20"/>
                <w:szCs w:val="20"/>
                <w:color w:val="auto"/>
              </w:rPr>
            </w:pPr>
            <w:r>
              <w:rPr>
                <w:rFonts w:ascii="Arial" w:cs="Arial" w:eastAsia="Arial" w:hAnsi="Arial"/>
                <w:sz w:val="14"/>
                <w:szCs w:val="14"/>
                <w:color w:val="auto"/>
              </w:rPr>
              <w:t>22,273</w:t>
            </w:r>
          </w:p>
        </w:tc>
        <w:tc>
          <w:tcPr>
            <w:tcW w:w="0" w:type="dxa"/>
            <w:vAlign w:val="bottom"/>
          </w:tcPr>
          <w:p>
            <w:pPr>
              <w:spacing w:after="0"/>
              <w:rPr>
                <w:sz w:val="1"/>
                <w:szCs w:val="1"/>
                <w:color w:val="auto"/>
              </w:rPr>
            </w:pPr>
          </w:p>
        </w:tc>
      </w:tr>
      <w:tr>
        <w:trPr>
          <w:trHeight w:val="208"/>
        </w:trPr>
        <w:tc>
          <w:tcPr>
            <w:tcW w:w="7240" w:type="dxa"/>
            <w:vAlign w:val="bottom"/>
          </w:tcPr>
          <w:p>
            <w:pPr>
              <w:ind w:left="20"/>
              <w:spacing w:after="0"/>
              <w:rPr>
                <w:sz w:val="20"/>
                <w:szCs w:val="20"/>
                <w:color w:val="auto"/>
              </w:rPr>
            </w:pPr>
            <w:r>
              <w:rPr>
                <w:rFonts w:ascii="Arial" w:cs="Arial" w:eastAsia="Arial" w:hAnsi="Arial"/>
                <w:sz w:val="14"/>
                <w:szCs w:val="14"/>
                <w:color w:val="auto"/>
              </w:rPr>
              <w:t>Deferred tax expense</w:t>
            </w:r>
          </w:p>
        </w:tc>
        <w:tc>
          <w:tcPr>
            <w:tcW w:w="1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8,063</w:t>
            </w:r>
          </w:p>
        </w:tc>
        <w:tc>
          <w:tcPr>
            <w:tcW w:w="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8,563</w:t>
            </w:r>
          </w:p>
        </w:tc>
        <w:tc>
          <w:tcPr>
            <w:tcW w:w="0" w:type="dxa"/>
            <w:vAlign w:val="bottom"/>
          </w:tcPr>
          <w:p>
            <w:pPr>
              <w:spacing w:after="0"/>
              <w:rPr>
                <w:sz w:val="1"/>
                <w:szCs w:val="1"/>
                <w:color w:val="auto"/>
              </w:rPr>
            </w:pPr>
          </w:p>
        </w:tc>
      </w:tr>
      <w:tr>
        <w:trPr>
          <w:trHeight w:val="22"/>
        </w:trPr>
        <w:tc>
          <w:tcPr>
            <w:tcW w:w="7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240" w:type="dxa"/>
            <w:vAlign w:val="bottom"/>
            <w:tcBorders>
              <w:bottom w:val="single" w:sz="8" w:color="F6F6F6"/>
            </w:tcBorders>
            <w:shd w:val="clear" w:color="auto" w:fill="F6F6F6"/>
          </w:tcPr>
          <w:p>
            <w:pPr>
              <w:ind w:left="20"/>
              <w:spacing w:after="0"/>
              <w:rPr>
                <w:sz w:val="20"/>
                <w:szCs w:val="20"/>
                <w:color w:val="auto"/>
              </w:rPr>
            </w:pPr>
            <w:r>
              <w:rPr>
                <w:rFonts w:ascii="Arial" w:cs="Arial" w:eastAsia="Arial" w:hAnsi="Arial"/>
                <w:sz w:val="14"/>
                <w:szCs w:val="14"/>
                <w:color w:val="auto"/>
              </w:rPr>
              <w:t>Others, net</w:t>
            </w:r>
          </w:p>
        </w:tc>
        <w:tc>
          <w:tcPr>
            <w:tcW w:w="1240" w:type="dxa"/>
            <w:vAlign w:val="bottom"/>
            <w:tcBorders>
              <w:bottom w:val="single" w:sz="8" w:color="F6F6F6"/>
            </w:tcBorders>
            <w:shd w:val="clear" w:color="auto" w:fill="F6F6F6"/>
          </w:tcPr>
          <w:p>
            <w:pPr>
              <w:spacing w:after="0"/>
              <w:rPr>
                <w:sz w:val="18"/>
                <w:szCs w:val="18"/>
                <w:color w:val="auto"/>
              </w:rPr>
            </w:pPr>
          </w:p>
        </w:tc>
        <w:tc>
          <w:tcPr>
            <w:tcW w:w="720" w:type="dxa"/>
            <w:vAlign w:val="bottom"/>
            <w:tcBorders>
              <w:bottom w:val="single" w:sz="8" w:color="F6F6F6"/>
            </w:tcBorders>
            <w:shd w:val="clear" w:color="auto" w:fill="F6F6F6"/>
          </w:tcPr>
          <w:p>
            <w:pPr>
              <w:jc w:val="right"/>
              <w:spacing w:after="0"/>
              <w:rPr>
                <w:sz w:val="20"/>
                <w:szCs w:val="20"/>
                <w:color w:val="auto"/>
              </w:rPr>
            </w:pPr>
            <w:r>
              <w:rPr>
                <w:rFonts w:ascii="Arial" w:cs="Arial" w:eastAsia="Arial" w:hAnsi="Arial"/>
                <w:sz w:val="14"/>
                <w:szCs w:val="14"/>
                <w:color w:val="auto"/>
              </w:rPr>
              <w:t>(66)</w:t>
            </w:r>
          </w:p>
        </w:tc>
        <w:tc>
          <w:tcPr>
            <w:tcW w:w="80" w:type="dxa"/>
            <w:vAlign w:val="bottom"/>
            <w:tcBorders>
              <w:bottom w:val="single" w:sz="8" w:color="F6F6F6"/>
            </w:tcBorders>
            <w:shd w:val="clear" w:color="auto" w:fill="F6F6F6"/>
          </w:tcPr>
          <w:p>
            <w:pPr>
              <w:spacing w:after="0"/>
              <w:rPr>
                <w:sz w:val="18"/>
                <w:szCs w:val="18"/>
                <w:color w:val="auto"/>
              </w:rPr>
            </w:pPr>
          </w:p>
        </w:tc>
        <w:tc>
          <w:tcPr>
            <w:tcW w:w="1220" w:type="dxa"/>
            <w:vAlign w:val="bottom"/>
            <w:tcBorders>
              <w:bottom w:val="single" w:sz="8" w:color="F6F6F6"/>
            </w:tcBorders>
            <w:shd w:val="clear" w:color="auto" w:fill="F6F6F6"/>
          </w:tcPr>
          <w:p>
            <w:pPr>
              <w:spacing w:after="0"/>
              <w:rPr>
                <w:sz w:val="18"/>
                <w:szCs w:val="18"/>
                <w:color w:val="auto"/>
              </w:rPr>
            </w:pPr>
          </w:p>
        </w:tc>
        <w:tc>
          <w:tcPr>
            <w:tcW w:w="740" w:type="dxa"/>
            <w:vAlign w:val="bottom"/>
            <w:tcBorders>
              <w:bottom w:val="single" w:sz="8" w:color="F6F6F6"/>
            </w:tcBorders>
            <w:shd w:val="clear" w:color="auto" w:fill="F6F6F6"/>
          </w:tcPr>
          <w:p>
            <w:pPr>
              <w:jc w:val="right"/>
              <w:spacing w:after="0"/>
              <w:rPr>
                <w:sz w:val="20"/>
                <w:szCs w:val="20"/>
                <w:color w:val="auto"/>
              </w:rPr>
            </w:pPr>
            <w:r>
              <w:rPr>
                <w:rFonts w:ascii="Arial" w:cs="Arial" w:eastAsia="Arial" w:hAnsi="Arial"/>
                <w:sz w:val="14"/>
                <w:szCs w:val="14"/>
                <w:color w:val="auto"/>
              </w:rPr>
              <w:t>(48)</w:t>
            </w:r>
          </w:p>
        </w:tc>
        <w:tc>
          <w:tcPr>
            <w:tcW w:w="0" w:type="dxa"/>
            <w:vAlign w:val="bottom"/>
          </w:tcPr>
          <w:p>
            <w:pPr>
              <w:spacing w:after="0"/>
              <w:rPr>
                <w:sz w:val="1"/>
                <w:szCs w:val="1"/>
                <w:color w:val="auto"/>
              </w:rPr>
            </w:pPr>
          </w:p>
        </w:tc>
      </w:tr>
      <w:tr>
        <w:trPr>
          <w:trHeight w:val="208"/>
        </w:trPr>
        <w:tc>
          <w:tcPr>
            <w:tcW w:w="7240" w:type="dxa"/>
            <w:vAlign w:val="bottom"/>
          </w:tcPr>
          <w:p>
            <w:pPr>
              <w:ind w:left="20"/>
              <w:spacing w:after="0"/>
              <w:rPr>
                <w:sz w:val="20"/>
                <w:szCs w:val="20"/>
                <w:color w:val="auto"/>
              </w:rPr>
            </w:pPr>
            <w:r>
              <w:rPr>
                <w:rFonts w:ascii="Arial" w:cs="Arial" w:eastAsia="Arial" w:hAnsi="Arial"/>
                <w:sz w:val="14"/>
                <w:szCs w:val="14"/>
                <w:i w:val="1"/>
                <w:iCs w:val="1"/>
                <w:color w:val="auto"/>
              </w:rPr>
              <w:t>Change in operating assets and liabilities:</w:t>
            </w:r>
          </w:p>
        </w:tc>
        <w:tc>
          <w:tcPr>
            <w:tcW w:w="1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
        </w:trPr>
        <w:tc>
          <w:tcPr>
            <w:tcW w:w="7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240" w:type="dxa"/>
            <w:vAlign w:val="bottom"/>
            <w:tcBorders>
              <w:bottom w:val="single" w:sz="8" w:color="F6F6F6"/>
            </w:tcBorders>
            <w:shd w:val="clear" w:color="auto" w:fill="F6F6F6"/>
          </w:tcPr>
          <w:p>
            <w:pPr>
              <w:ind w:left="280"/>
              <w:spacing w:after="0"/>
              <w:rPr>
                <w:sz w:val="20"/>
                <w:szCs w:val="20"/>
                <w:color w:val="auto"/>
              </w:rPr>
            </w:pPr>
            <w:r>
              <w:rPr>
                <w:rFonts w:ascii="Arial" w:cs="Arial" w:eastAsia="Arial" w:hAnsi="Arial"/>
                <w:sz w:val="14"/>
                <w:szCs w:val="14"/>
                <w:color w:val="auto"/>
              </w:rPr>
              <w:t>(Increase) Decrease in accounts receivable</w:t>
            </w:r>
          </w:p>
        </w:tc>
        <w:tc>
          <w:tcPr>
            <w:tcW w:w="1240" w:type="dxa"/>
            <w:vAlign w:val="bottom"/>
            <w:tcBorders>
              <w:bottom w:val="single" w:sz="8" w:color="F6F6F6"/>
            </w:tcBorders>
            <w:shd w:val="clear" w:color="auto" w:fill="F6F6F6"/>
          </w:tcPr>
          <w:p>
            <w:pPr>
              <w:spacing w:after="0"/>
              <w:rPr>
                <w:sz w:val="18"/>
                <w:szCs w:val="18"/>
                <w:color w:val="auto"/>
              </w:rPr>
            </w:pPr>
          </w:p>
        </w:tc>
        <w:tc>
          <w:tcPr>
            <w:tcW w:w="720" w:type="dxa"/>
            <w:vAlign w:val="bottom"/>
            <w:tcBorders>
              <w:bottom w:val="single" w:sz="8" w:color="F6F6F6"/>
            </w:tcBorders>
            <w:shd w:val="clear" w:color="auto" w:fill="F6F6F6"/>
          </w:tcPr>
          <w:p>
            <w:pPr>
              <w:jc w:val="right"/>
              <w:spacing w:after="0"/>
              <w:rPr>
                <w:sz w:val="20"/>
                <w:szCs w:val="20"/>
                <w:color w:val="auto"/>
              </w:rPr>
            </w:pPr>
            <w:r>
              <w:rPr>
                <w:rFonts w:ascii="Arial" w:cs="Arial" w:eastAsia="Arial" w:hAnsi="Arial"/>
                <w:sz w:val="14"/>
                <w:szCs w:val="14"/>
                <w:color w:val="auto"/>
              </w:rPr>
              <w:t>6,972</w:t>
            </w:r>
          </w:p>
        </w:tc>
        <w:tc>
          <w:tcPr>
            <w:tcW w:w="80" w:type="dxa"/>
            <w:vAlign w:val="bottom"/>
            <w:tcBorders>
              <w:bottom w:val="single" w:sz="8" w:color="F6F6F6"/>
            </w:tcBorders>
            <w:shd w:val="clear" w:color="auto" w:fill="F6F6F6"/>
          </w:tcPr>
          <w:p>
            <w:pPr>
              <w:spacing w:after="0"/>
              <w:rPr>
                <w:sz w:val="18"/>
                <w:szCs w:val="18"/>
                <w:color w:val="auto"/>
              </w:rPr>
            </w:pPr>
          </w:p>
        </w:tc>
        <w:tc>
          <w:tcPr>
            <w:tcW w:w="1220" w:type="dxa"/>
            <w:vAlign w:val="bottom"/>
            <w:tcBorders>
              <w:bottom w:val="single" w:sz="8" w:color="F6F6F6"/>
            </w:tcBorders>
            <w:shd w:val="clear" w:color="auto" w:fill="F6F6F6"/>
          </w:tcPr>
          <w:p>
            <w:pPr>
              <w:spacing w:after="0"/>
              <w:rPr>
                <w:sz w:val="18"/>
                <w:szCs w:val="18"/>
                <w:color w:val="auto"/>
              </w:rPr>
            </w:pPr>
          </w:p>
        </w:tc>
        <w:tc>
          <w:tcPr>
            <w:tcW w:w="740" w:type="dxa"/>
            <w:vAlign w:val="bottom"/>
            <w:tcBorders>
              <w:bottom w:val="single" w:sz="8" w:color="F6F6F6"/>
            </w:tcBorders>
            <w:shd w:val="clear" w:color="auto" w:fill="F6F6F6"/>
          </w:tcPr>
          <w:p>
            <w:pPr>
              <w:jc w:val="right"/>
              <w:spacing w:after="0"/>
              <w:rPr>
                <w:sz w:val="20"/>
                <w:szCs w:val="20"/>
                <w:color w:val="auto"/>
              </w:rPr>
            </w:pPr>
            <w:r>
              <w:rPr>
                <w:rFonts w:ascii="Arial" w:cs="Arial" w:eastAsia="Arial" w:hAnsi="Arial"/>
                <w:sz w:val="14"/>
                <w:szCs w:val="14"/>
                <w:color w:val="auto"/>
              </w:rPr>
              <w:t>(29,014)</w:t>
            </w:r>
          </w:p>
        </w:tc>
        <w:tc>
          <w:tcPr>
            <w:tcW w:w="0" w:type="dxa"/>
            <w:vAlign w:val="bottom"/>
          </w:tcPr>
          <w:p>
            <w:pPr>
              <w:spacing w:after="0"/>
              <w:rPr>
                <w:sz w:val="1"/>
                <w:szCs w:val="1"/>
                <w:color w:val="auto"/>
              </w:rPr>
            </w:pPr>
          </w:p>
        </w:tc>
      </w:tr>
      <w:tr>
        <w:trPr>
          <w:trHeight w:val="180"/>
        </w:trPr>
        <w:tc>
          <w:tcPr>
            <w:tcW w:w="7240" w:type="dxa"/>
            <w:vAlign w:val="bottom"/>
          </w:tcPr>
          <w:p>
            <w:pPr>
              <w:ind w:left="280"/>
              <w:spacing w:after="0"/>
              <w:rPr>
                <w:sz w:val="20"/>
                <w:szCs w:val="20"/>
                <w:color w:val="auto"/>
              </w:rPr>
            </w:pPr>
            <w:r>
              <w:rPr>
                <w:rFonts w:ascii="Arial" w:cs="Arial" w:eastAsia="Arial" w:hAnsi="Arial"/>
                <w:sz w:val="14"/>
                <w:szCs w:val="14"/>
                <w:color w:val="auto"/>
              </w:rPr>
              <w:t>Increase in prepaid expenses, other current assets, contract cost assets, operating lease right-of-use assets</w:t>
            </w:r>
          </w:p>
        </w:tc>
        <w:tc>
          <w:tcPr>
            <w:tcW w:w="12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(23,915)</w:t>
            </w: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(45,931)</w:t>
            </w:r>
          </w:p>
        </w:tc>
        <w:tc>
          <w:tcPr>
            <w:tcW w:w="0" w:type="dxa"/>
            <w:vAlign w:val="bottom"/>
          </w:tcPr>
          <w:p>
            <w:pPr>
              <w:spacing w:after="0"/>
              <w:rPr>
                <w:sz w:val="1"/>
                <w:szCs w:val="1"/>
                <w:color w:val="auto"/>
              </w:rPr>
            </w:pPr>
          </w:p>
        </w:tc>
      </w:tr>
      <w:tr>
        <w:trPr>
          <w:trHeight w:val="190"/>
        </w:trPr>
        <w:tc>
          <w:tcPr>
            <w:tcW w:w="7240" w:type="dxa"/>
            <w:vAlign w:val="bottom"/>
          </w:tcPr>
          <w:p>
            <w:pPr>
              <w:ind w:left="280"/>
              <w:spacing w:after="0"/>
              <w:rPr>
                <w:sz w:val="20"/>
                <w:szCs w:val="20"/>
                <w:color w:val="auto"/>
              </w:rPr>
            </w:pPr>
            <w:r>
              <w:rPr>
                <w:rFonts w:ascii="Arial" w:cs="Arial" w:eastAsia="Arial" w:hAnsi="Arial"/>
                <w:sz w:val="14"/>
                <w:szCs w:val="14"/>
                <w:color w:val="auto"/>
              </w:rPr>
              <w:t>and other assets</w:t>
            </w:r>
          </w:p>
        </w:tc>
        <w:tc>
          <w:tcPr>
            <w:tcW w:w="12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
        </w:trPr>
        <w:tc>
          <w:tcPr>
            <w:tcW w:w="72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7240" w:type="dxa"/>
            <w:vAlign w:val="bottom"/>
            <w:tcBorders>
              <w:bottom w:val="single" w:sz="8" w:color="F6F6F6"/>
            </w:tcBorders>
            <w:shd w:val="clear" w:color="auto" w:fill="F6F6F6"/>
          </w:tcPr>
          <w:p>
            <w:pPr>
              <w:ind w:left="280"/>
              <w:spacing w:after="0"/>
              <w:rPr>
                <w:sz w:val="20"/>
                <w:szCs w:val="20"/>
                <w:color w:val="auto"/>
              </w:rPr>
            </w:pPr>
            <w:r>
              <w:rPr>
                <w:rFonts w:ascii="Arial" w:cs="Arial" w:eastAsia="Arial" w:hAnsi="Arial"/>
                <w:sz w:val="14"/>
                <w:szCs w:val="14"/>
                <w:color w:val="auto"/>
              </w:rPr>
              <w:t>Increase (Decrease) in accounts payable</w:t>
            </w:r>
          </w:p>
        </w:tc>
        <w:tc>
          <w:tcPr>
            <w:tcW w:w="1240" w:type="dxa"/>
            <w:vAlign w:val="bottom"/>
            <w:tcBorders>
              <w:bottom w:val="single" w:sz="8" w:color="F6F6F6"/>
            </w:tcBorders>
            <w:shd w:val="clear" w:color="auto" w:fill="F6F6F6"/>
          </w:tcPr>
          <w:p>
            <w:pPr>
              <w:spacing w:after="0"/>
              <w:rPr>
                <w:sz w:val="18"/>
                <w:szCs w:val="18"/>
                <w:color w:val="auto"/>
              </w:rPr>
            </w:pPr>
          </w:p>
        </w:tc>
        <w:tc>
          <w:tcPr>
            <w:tcW w:w="720" w:type="dxa"/>
            <w:vAlign w:val="bottom"/>
            <w:tcBorders>
              <w:bottom w:val="single" w:sz="8" w:color="F6F6F6"/>
            </w:tcBorders>
            <w:shd w:val="clear" w:color="auto" w:fill="F6F6F6"/>
          </w:tcPr>
          <w:p>
            <w:pPr>
              <w:jc w:val="right"/>
              <w:spacing w:after="0"/>
              <w:rPr>
                <w:sz w:val="20"/>
                <w:szCs w:val="20"/>
                <w:color w:val="auto"/>
              </w:rPr>
            </w:pPr>
            <w:r>
              <w:rPr>
                <w:rFonts w:ascii="Arial" w:cs="Arial" w:eastAsia="Arial" w:hAnsi="Arial"/>
                <w:sz w:val="14"/>
                <w:szCs w:val="14"/>
                <w:color w:val="auto"/>
              </w:rPr>
              <w:t>1,835</w:t>
            </w:r>
          </w:p>
        </w:tc>
        <w:tc>
          <w:tcPr>
            <w:tcW w:w="80" w:type="dxa"/>
            <w:vAlign w:val="bottom"/>
            <w:tcBorders>
              <w:bottom w:val="single" w:sz="8" w:color="F6F6F6"/>
            </w:tcBorders>
            <w:shd w:val="clear" w:color="auto" w:fill="F6F6F6"/>
          </w:tcPr>
          <w:p>
            <w:pPr>
              <w:spacing w:after="0"/>
              <w:rPr>
                <w:sz w:val="18"/>
                <w:szCs w:val="18"/>
                <w:color w:val="auto"/>
              </w:rPr>
            </w:pPr>
          </w:p>
        </w:tc>
        <w:tc>
          <w:tcPr>
            <w:tcW w:w="1220" w:type="dxa"/>
            <w:vAlign w:val="bottom"/>
            <w:tcBorders>
              <w:bottom w:val="single" w:sz="8" w:color="F6F6F6"/>
            </w:tcBorders>
            <w:shd w:val="clear" w:color="auto" w:fill="F6F6F6"/>
          </w:tcPr>
          <w:p>
            <w:pPr>
              <w:spacing w:after="0"/>
              <w:rPr>
                <w:sz w:val="18"/>
                <w:szCs w:val="18"/>
                <w:color w:val="auto"/>
              </w:rPr>
            </w:pPr>
          </w:p>
        </w:tc>
        <w:tc>
          <w:tcPr>
            <w:tcW w:w="740" w:type="dxa"/>
            <w:vAlign w:val="bottom"/>
            <w:tcBorders>
              <w:bottom w:val="single" w:sz="8" w:color="F6F6F6"/>
            </w:tcBorders>
            <w:shd w:val="clear" w:color="auto" w:fill="F6F6F6"/>
          </w:tcPr>
          <w:p>
            <w:pPr>
              <w:jc w:val="right"/>
              <w:spacing w:after="0"/>
              <w:rPr>
                <w:sz w:val="20"/>
                <w:szCs w:val="20"/>
                <w:color w:val="auto"/>
              </w:rPr>
            </w:pPr>
            <w:r>
              <w:rPr>
                <w:rFonts w:ascii="Arial" w:cs="Arial" w:eastAsia="Arial" w:hAnsi="Arial"/>
                <w:sz w:val="14"/>
                <w:szCs w:val="14"/>
                <w:color w:val="auto"/>
              </w:rPr>
              <w:t>(1,939)</w:t>
            </w:r>
          </w:p>
        </w:tc>
        <w:tc>
          <w:tcPr>
            <w:tcW w:w="0" w:type="dxa"/>
            <w:vAlign w:val="bottom"/>
          </w:tcPr>
          <w:p>
            <w:pPr>
              <w:spacing w:after="0"/>
              <w:rPr>
                <w:sz w:val="1"/>
                <w:szCs w:val="1"/>
                <w:color w:val="auto"/>
              </w:rPr>
            </w:pPr>
          </w:p>
        </w:tc>
      </w:tr>
      <w:tr>
        <w:trPr>
          <w:trHeight w:val="208"/>
        </w:trPr>
        <w:tc>
          <w:tcPr>
            <w:tcW w:w="7240" w:type="dxa"/>
            <w:vAlign w:val="bottom"/>
          </w:tcPr>
          <w:p>
            <w:pPr>
              <w:ind w:left="260"/>
              <w:spacing w:after="0"/>
              <w:rPr>
                <w:sz w:val="20"/>
                <w:szCs w:val="20"/>
                <w:color w:val="auto"/>
              </w:rPr>
            </w:pPr>
            <w:r>
              <w:rPr>
                <w:rFonts w:ascii="Arial" w:cs="Arial" w:eastAsia="Arial" w:hAnsi="Arial"/>
                <w:sz w:val="14"/>
                <w:szCs w:val="14"/>
                <w:color w:val="auto"/>
              </w:rPr>
              <w:t>Decrease in accrued expenses, other current liabilities, operating leases liabilities and other liabilities</w:t>
            </w:r>
          </w:p>
        </w:tc>
        <w:tc>
          <w:tcPr>
            <w:tcW w:w="1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(140,240)</w:t>
            </w:r>
          </w:p>
        </w:tc>
        <w:tc>
          <w:tcPr>
            <w:tcW w:w="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(148,811)</w:t>
            </w:r>
          </w:p>
        </w:tc>
        <w:tc>
          <w:tcPr>
            <w:tcW w:w="0" w:type="dxa"/>
            <w:vAlign w:val="bottom"/>
          </w:tcPr>
          <w:p>
            <w:pPr>
              <w:spacing w:after="0"/>
              <w:rPr>
                <w:sz w:val="1"/>
                <w:szCs w:val="1"/>
                <w:color w:val="auto"/>
              </w:rPr>
            </w:pPr>
          </w:p>
        </w:tc>
      </w:tr>
      <w:tr>
        <w:trPr>
          <w:trHeight w:val="22"/>
        </w:trPr>
        <w:tc>
          <w:tcPr>
            <w:tcW w:w="7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240" w:type="dxa"/>
            <w:vAlign w:val="bottom"/>
            <w:tcBorders>
              <w:bottom w:val="single" w:sz="8" w:color="F6F6F6"/>
            </w:tcBorders>
            <w:shd w:val="clear" w:color="auto" w:fill="F6F6F6"/>
          </w:tcPr>
          <w:p>
            <w:pPr>
              <w:ind w:left="260"/>
              <w:spacing w:after="0"/>
              <w:rPr>
                <w:sz w:val="20"/>
                <w:szCs w:val="20"/>
                <w:color w:val="auto"/>
              </w:rPr>
            </w:pPr>
            <w:r>
              <w:rPr>
                <w:rFonts w:ascii="Arial" w:cs="Arial" w:eastAsia="Arial" w:hAnsi="Arial"/>
                <w:sz w:val="14"/>
                <w:szCs w:val="14"/>
                <w:color w:val="auto"/>
              </w:rPr>
              <w:t>Increase in income taxes payable</w:t>
            </w:r>
          </w:p>
        </w:tc>
        <w:tc>
          <w:tcPr>
            <w:tcW w:w="1240" w:type="dxa"/>
            <w:vAlign w:val="bottom"/>
            <w:tcBorders>
              <w:bottom w:val="single" w:sz="8" w:color="F6F6F6"/>
            </w:tcBorders>
            <w:shd w:val="clear" w:color="auto" w:fill="F6F6F6"/>
          </w:tcPr>
          <w:p>
            <w:pPr>
              <w:spacing w:after="0"/>
              <w:rPr>
                <w:sz w:val="18"/>
                <w:szCs w:val="18"/>
                <w:color w:val="auto"/>
              </w:rPr>
            </w:pPr>
          </w:p>
        </w:tc>
        <w:tc>
          <w:tcPr>
            <w:tcW w:w="720" w:type="dxa"/>
            <w:vAlign w:val="bottom"/>
            <w:tcBorders>
              <w:bottom w:val="single" w:sz="8" w:color="F6F6F6"/>
            </w:tcBorders>
            <w:shd w:val="clear" w:color="auto" w:fill="F6F6F6"/>
          </w:tcPr>
          <w:p>
            <w:pPr>
              <w:jc w:val="right"/>
              <w:spacing w:after="0"/>
              <w:rPr>
                <w:sz w:val="20"/>
                <w:szCs w:val="20"/>
                <w:color w:val="auto"/>
              </w:rPr>
            </w:pPr>
            <w:r>
              <w:rPr>
                <w:rFonts w:ascii="Arial" w:cs="Arial" w:eastAsia="Arial" w:hAnsi="Arial"/>
                <w:sz w:val="14"/>
                <w:szCs w:val="14"/>
                <w:color w:val="auto"/>
              </w:rPr>
              <w:t>4,635</w:t>
            </w:r>
          </w:p>
        </w:tc>
        <w:tc>
          <w:tcPr>
            <w:tcW w:w="80" w:type="dxa"/>
            <w:vAlign w:val="bottom"/>
            <w:tcBorders>
              <w:bottom w:val="single" w:sz="8" w:color="F6F6F6"/>
            </w:tcBorders>
            <w:shd w:val="clear" w:color="auto" w:fill="F6F6F6"/>
          </w:tcPr>
          <w:p>
            <w:pPr>
              <w:spacing w:after="0"/>
              <w:rPr>
                <w:sz w:val="18"/>
                <w:szCs w:val="18"/>
                <w:color w:val="auto"/>
              </w:rPr>
            </w:pPr>
          </w:p>
        </w:tc>
        <w:tc>
          <w:tcPr>
            <w:tcW w:w="1220" w:type="dxa"/>
            <w:vAlign w:val="bottom"/>
            <w:tcBorders>
              <w:bottom w:val="single" w:sz="8" w:color="F6F6F6"/>
            </w:tcBorders>
            <w:shd w:val="clear" w:color="auto" w:fill="F6F6F6"/>
          </w:tcPr>
          <w:p>
            <w:pPr>
              <w:spacing w:after="0"/>
              <w:rPr>
                <w:sz w:val="18"/>
                <w:szCs w:val="18"/>
                <w:color w:val="auto"/>
              </w:rPr>
            </w:pPr>
          </w:p>
        </w:tc>
        <w:tc>
          <w:tcPr>
            <w:tcW w:w="740" w:type="dxa"/>
            <w:vAlign w:val="bottom"/>
            <w:tcBorders>
              <w:bottom w:val="single" w:sz="8" w:color="F6F6F6"/>
            </w:tcBorders>
            <w:shd w:val="clear" w:color="auto" w:fill="F6F6F6"/>
          </w:tcPr>
          <w:p>
            <w:pPr>
              <w:jc w:val="right"/>
              <w:spacing w:after="0"/>
              <w:rPr>
                <w:sz w:val="20"/>
                <w:szCs w:val="20"/>
                <w:color w:val="auto"/>
              </w:rPr>
            </w:pPr>
            <w:r>
              <w:rPr>
                <w:rFonts w:ascii="Arial" w:cs="Arial" w:eastAsia="Arial" w:hAnsi="Arial"/>
                <w:sz w:val="14"/>
                <w:szCs w:val="14"/>
                <w:color w:val="auto"/>
              </w:rPr>
              <w:t>446</w:t>
            </w:r>
          </w:p>
        </w:tc>
        <w:tc>
          <w:tcPr>
            <w:tcW w:w="0" w:type="dxa"/>
            <w:vAlign w:val="bottom"/>
          </w:tcPr>
          <w:p>
            <w:pPr>
              <w:spacing w:after="0"/>
              <w:rPr>
                <w:sz w:val="1"/>
                <w:szCs w:val="1"/>
                <w:color w:val="auto"/>
              </w:rPr>
            </w:pPr>
          </w:p>
        </w:tc>
      </w:tr>
      <w:tr>
        <w:trPr>
          <w:trHeight w:val="223"/>
        </w:trPr>
        <w:tc>
          <w:tcPr>
            <w:tcW w:w="7240" w:type="dxa"/>
            <w:vAlign w:val="bottom"/>
            <w:tcBorders>
              <w:bottom w:val="single" w:sz="8" w:color="F6F6F6"/>
            </w:tcBorders>
          </w:tcPr>
          <w:p>
            <w:pPr>
              <w:ind w:left="20"/>
              <w:spacing w:after="0"/>
              <w:rPr>
                <w:sz w:val="20"/>
                <w:szCs w:val="20"/>
                <w:color w:val="auto"/>
              </w:rPr>
            </w:pPr>
            <w:r>
              <w:rPr>
                <w:rFonts w:ascii="Arial" w:cs="Arial" w:eastAsia="Arial" w:hAnsi="Arial"/>
                <w:sz w:val="14"/>
                <w:szCs w:val="14"/>
                <w:b w:val="1"/>
                <w:bCs w:val="1"/>
                <w:color w:val="auto"/>
              </w:rPr>
              <w:t>Net cash (used for) provided by operating activities</w:t>
            </w:r>
          </w:p>
        </w:tc>
        <w:tc>
          <w:tcPr>
            <w:tcW w:w="1240" w:type="dxa"/>
            <w:vAlign w:val="bottom"/>
            <w:tcBorders>
              <w:bottom w:val="single" w:sz="8" w:color="auto"/>
            </w:tcBorders>
          </w:tcPr>
          <w:p>
            <w:pPr>
              <w:jc w:val="right"/>
              <w:ind w:right="1068"/>
              <w:spacing w:after="0"/>
              <w:rPr>
                <w:sz w:val="20"/>
                <w:szCs w:val="20"/>
                <w:color w:val="auto"/>
              </w:rPr>
            </w:pPr>
            <w:r>
              <w:rPr>
                <w:rFonts w:ascii="Arial" w:cs="Arial" w:eastAsia="Arial" w:hAnsi="Arial"/>
                <w:sz w:val="14"/>
                <w:szCs w:val="14"/>
                <w:b w:val="1"/>
                <w:bCs w:val="1"/>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40,436</w:t>
            </w:r>
          </w:p>
        </w:tc>
        <w:tc>
          <w:tcPr>
            <w:tcW w:w="80" w:type="dxa"/>
            <w:vAlign w:val="bottom"/>
            <w:tcBorders>
              <w:bottom w:val="single" w:sz="8" w:color="F6F6F6"/>
            </w:tcBorders>
          </w:tcPr>
          <w:p>
            <w:pPr>
              <w:spacing w:after="0"/>
              <w:rPr>
                <w:sz w:val="19"/>
                <w:szCs w:val="19"/>
                <w:color w:val="auto"/>
              </w:rPr>
            </w:pPr>
          </w:p>
        </w:tc>
        <w:tc>
          <w:tcPr>
            <w:tcW w:w="1220" w:type="dxa"/>
            <w:vAlign w:val="bottom"/>
            <w:tcBorders>
              <w:bottom w:val="single" w:sz="8" w:color="auto"/>
            </w:tcBorders>
          </w:tcPr>
          <w:p>
            <w:pPr>
              <w:jc w:val="right"/>
              <w:ind w:right="1048"/>
              <w:spacing w:after="0"/>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(23,535)</w:t>
            </w:r>
          </w:p>
        </w:tc>
        <w:tc>
          <w:tcPr>
            <w:tcW w:w="0" w:type="dxa"/>
            <w:vAlign w:val="bottom"/>
          </w:tcPr>
          <w:p>
            <w:pPr>
              <w:spacing w:after="0"/>
              <w:rPr>
                <w:sz w:val="1"/>
                <w:szCs w:val="1"/>
                <w:color w:val="auto"/>
              </w:rPr>
            </w:pPr>
          </w:p>
        </w:tc>
      </w:tr>
      <w:tr>
        <w:trPr>
          <w:trHeight w:val="216"/>
        </w:trPr>
        <w:tc>
          <w:tcPr>
            <w:tcW w:w="7240" w:type="dxa"/>
            <w:vAlign w:val="bottom"/>
            <w:shd w:val="clear" w:color="auto" w:fill="F6F6F6"/>
          </w:tcPr>
          <w:p>
            <w:pPr>
              <w:ind w:left="20"/>
              <w:spacing w:after="0"/>
              <w:rPr>
                <w:sz w:val="20"/>
                <w:szCs w:val="20"/>
                <w:color w:val="auto"/>
              </w:rPr>
            </w:pPr>
            <w:r>
              <w:rPr>
                <w:rFonts w:ascii="Arial" w:cs="Arial" w:eastAsia="Arial" w:hAnsi="Arial"/>
                <w:sz w:val="14"/>
                <w:szCs w:val="14"/>
                <w:b w:val="1"/>
                <w:bCs w:val="1"/>
                <w:color w:val="auto"/>
              </w:rPr>
              <w:t>Investing activities</w:t>
            </w:r>
          </w:p>
        </w:tc>
        <w:tc>
          <w:tcPr>
            <w:tcW w:w="1240" w:type="dxa"/>
            <w:vAlign w:val="bottom"/>
            <w:shd w:val="clear" w:color="auto" w:fill="F6F6F6"/>
          </w:tcPr>
          <w:p>
            <w:pPr>
              <w:spacing w:after="0"/>
              <w:rPr>
                <w:sz w:val="18"/>
                <w:szCs w:val="18"/>
                <w:color w:val="auto"/>
              </w:rPr>
            </w:pPr>
          </w:p>
        </w:tc>
        <w:tc>
          <w:tcPr>
            <w:tcW w:w="720" w:type="dxa"/>
            <w:vAlign w:val="bottom"/>
            <w:shd w:val="clear" w:color="auto" w:fill="F6F6F6"/>
          </w:tcPr>
          <w:p>
            <w:pPr>
              <w:spacing w:after="0"/>
              <w:rPr>
                <w:sz w:val="18"/>
                <w:szCs w:val="18"/>
                <w:color w:val="auto"/>
              </w:rPr>
            </w:pPr>
          </w:p>
        </w:tc>
        <w:tc>
          <w:tcPr>
            <w:tcW w:w="80" w:type="dxa"/>
            <w:vAlign w:val="bottom"/>
            <w:shd w:val="clear" w:color="auto" w:fill="F6F6F6"/>
          </w:tcPr>
          <w:p>
            <w:pPr>
              <w:spacing w:after="0"/>
              <w:rPr>
                <w:sz w:val="18"/>
                <w:szCs w:val="18"/>
                <w:color w:val="auto"/>
              </w:rPr>
            </w:pPr>
          </w:p>
        </w:tc>
        <w:tc>
          <w:tcPr>
            <w:tcW w:w="1220" w:type="dxa"/>
            <w:vAlign w:val="bottom"/>
            <w:shd w:val="clear" w:color="auto" w:fill="F6F6F6"/>
          </w:tcPr>
          <w:p>
            <w:pPr>
              <w:spacing w:after="0"/>
              <w:rPr>
                <w:sz w:val="18"/>
                <w:szCs w:val="18"/>
                <w:color w:val="auto"/>
              </w:rPr>
            </w:pPr>
          </w:p>
        </w:tc>
        <w:tc>
          <w:tcPr>
            <w:tcW w:w="740" w:type="dxa"/>
            <w:vAlign w:val="bottom"/>
            <w:shd w:val="clear" w:color="auto" w:fill="F6F6F6"/>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7240" w:type="dxa"/>
            <w:vAlign w:val="bottom"/>
          </w:tcPr>
          <w:p>
            <w:pPr>
              <w:ind w:left="20"/>
              <w:spacing w:after="0"/>
              <w:rPr>
                <w:sz w:val="20"/>
                <w:szCs w:val="20"/>
                <w:color w:val="auto"/>
              </w:rPr>
            </w:pPr>
            <w:r>
              <w:rPr>
                <w:rFonts w:ascii="Arial" w:cs="Arial" w:eastAsia="Arial" w:hAnsi="Arial"/>
                <w:sz w:val="14"/>
                <w:szCs w:val="14"/>
                <w:color w:val="auto"/>
              </w:rPr>
              <w:t>Purchase of property, plant and equipment</w:t>
            </w:r>
          </w:p>
        </w:tc>
        <w:tc>
          <w:tcPr>
            <w:tcW w:w="1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(21,979)</w:t>
            </w:r>
          </w:p>
        </w:tc>
        <w:tc>
          <w:tcPr>
            <w:tcW w:w="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(23,930)</w:t>
            </w:r>
          </w:p>
        </w:tc>
        <w:tc>
          <w:tcPr>
            <w:tcW w:w="0" w:type="dxa"/>
            <w:vAlign w:val="bottom"/>
          </w:tcPr>
          <w:p>
            <w:pPr>
              <w:spacing w:after="0"/>
              <w:rPr>
                <w:sz w:val="1"/>
                <w:szCs w:val="1"/>
                <w:color w:val="auto"/>
              </w:rPr>
            </w:pPr>
          </w:p>
        </w:tc>
      </w:tr>
      <w:tr>
        <w:trPr>
          <w:trHeight w:val="22"/>
        </w:trPr>
        <w:tc>
          <w:tcPr>
            <w:tcW w:w="7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240" w:type="dxa"/>
            <w:vAlign w:val="bottom"/>
            <w:tcBorders>
              <w:bottom w:val="single" w:sz="8" w:color="F6F6F6"/>
            </w:tcBorders>
            <w:shd w:val="clear" w:color="auto" w:fill="F6F6F6"/>
          </w:tcPr>
          <w:p>
            <w:pPr>
              <w:ind w:left="20"/>
              <w:spacing w:after="0"/>
              <w:rPr>
                <w:sz w:val="20"/>
                <w:szCs w:val="20"/>
                <w:color w:val="auto"/>
              </w:rPr>
            </w:pPr>
            <w:r>
              <w:rPr>
                <w:rFonts w:ascii="Arial" w:cs="Arial" w:eastAsia="Arial" w:hAnsi="Arial"/>
                <w:sz w:val="14"/>
                <w:szCs w:val="14"/>
                <w:color w:val="auto"/>
              </w:rPr>
              <w:t>Payment for internally generated intangible assets (including intangible assets under development)</w:t>
            </w:r>
          </w:p>
        </w:tc>
        <w:tc>
          <w:tcPr>
            <w:tcW w:w="1240" w:type="dxa"/>
            <w:vAlign w:val="bottom"/>
            <w:tcBorders>
              <w:bottom w:val="single" w:sz="8" w:color="F6F6F6"/>
            </w:tcBorders>
            <w:shd w:val="clear" w:color="auto" w:fill="F6F6F6"/>
          </w:tcPr>
          <w:p>
            <w:pPr>
              <w:spacing w:after="0"/>
              <w:rPr>
                <w:sz w:val="18"/>
                <w:szCs w:val="18"/>
                <w:color w:val="auto"/>
              </w:rPr>
            </w:pPr>
          </w:p>
        </w:tc>
        <w:tc>
          <w:tcPr>
            <w:tcW w:w="720" w:type="dxa"/>
            <w:vAlign w:val="bottom"/>
            <w:tcBorders>
              <w:bottom w:val="single" w:sz="8" w:color="F6F6F6"/>
            </w:tcBorders>
            <w:shd w:val="clear" w:color="auto" w:fill="F6F6F6"/>
          </w:tcPr>
          <w:p>
            <w:pPr>
              <w:jc w:val="right"/>
              <w:spacing w:after="0"/>
              <w:rPr>
                <w:sz w:val="20"/>
                <w:szCs w:val="20"/>
                <w:color w:val="auto"/>
              </w:rPr>
            </w:pPr>
            <w:r>
              <w:rPr>
                <w:rFonts w:ascii="Arial" w:cs="Arial" w:eastAsia="Arial" w:hAnsi="Arial"/>
                <w:sz w:val="14"/>
                <w:szCs w:val="14"/>
                <w:color w:val="auto"/>
              </w:rPr>
              <w:t>(601)</w:t>
            </w:r>
          </w:p>
        </w:tc>
        <w:tc>
          <w:tcPr>
            <w:tcW w:w="80" w:type="dxa"/>
            <w:vAlign w:val="bottom"/>
            <w:tcBorders>
              <w:bottom w:val="single" w:sz="8" w:color="F6F6F6"/>
            </w:tcBorders>
            <w:shd w:val="clear" w:color="auto" w:fill="F6F6F6"/>
          </w:tcPr>
          <w:p>
            <w:pPr>
              <w:spacing w:after="0"/>
              <w:rPr>
                <w:sz w:val="18"/>
                <w:szCs w:val="18"/>
                <w:color w:val="auto"/>
              </w:rPr>
            </w:pPr>
          </w:p>
        </w:tc>
        <w:tc>
          <w:tcPr>
            <w:tcW w:w="1220" w:type="dxa"/>
            <w:vAlign w:val="bottom"/>
            <w:tcBorders>
              <w:bottom w:val="single" w:sz="8" w:color="F6F6F6"/>
            </w:tcBorders>
            <w:shd w:val="clear" w:color="auto" w:fill="F6F6F6"/>
          </w:tcPr>
          <w:p>
            <w:pPr>
              <w:spacing w:after="0"/>
              <w:rPr>
                <w:sz w:val="18"/>
                <w:szCs w:val="18"/>
                <w:color w:val="auto"/>
              </w:rPr>
            </w:pPr>
          </w:p>
        </w:tc>
        <w:tc>
          <w:tcPr>
            <w:tcW w:w="740" w:type="dxa"/>
            <w:vAlign w:val="bottom"/>
            <w:tcBorders>
              <w:bottom w:val="single" w:sz="8" w:color="F6F6F6"/>
            </w:tcBorders>
            <w:shd w:val="clear" w:color="auto" w:fill="F6F6F6"/>
          </w:tcPr>
          <w:p>
            <w:pPr>
              <w:jc w:val="right"/>
              <w:spacing w:after="0"/>
              <w:rPr>
                <w:sz w:val="20"/>
                <w:szCs w:val="20"/>
                <w:color w:val="auto"/>
              </w:rPr>
            </w:pPr>
            <w:r>
              <w:rPr>
                <w:rFonts w:ascii="Arial" w:cs="Arial" w:eastAsia="Arial" w:hAnsi="Arial"/>
                <w:sz w:val="14"/>
                <w:szCs w:val="14"/>
                <w:color w:val="auto"/>
              </w:rPr>
              <w:t>(7,516)</w:t>
            </w:r>
          </w:p>
        </w:tc>
        <w:tc>
          <w:tcPr>
            <w:tcW w:w="0" w:type="dxa"/>
            <w:vAlign w:val="bottom"/>
          </w:tcPr>
          <w:p>
            <w:pPr>
              <w:spacing w:after="0"/>
              <w:rPr>
                <w:sz w:val="1"/>
                <w:szCs w:val="1"/>
                <w:color w:val="auto"/>
              </w:rPr>
            </w:pPr>
          </w:p>
        </w:tc>
      </w:tr>
      <w:tr>
        <w:trPr>
          <w:trHeight w:val="208"/>
        </w:trPr>
        <w:tc>
          <w:tcPr>
            <w:tcW w:w="7240" w:type="dxa"/>
            <w:vAlign w:val="bottom"/>
          </w:tcPr>
          <w:p>
            <w:pPr>
              <w:ind w:left="20"/>
              <w:spacing w:after="0"/>
              <w:rPr>
                <w:sz w:val="20"/>
                <w:szCs w:val="20"/>
                <w:color w:val="auto"/>
              </w:rPr>
            </w:pPr>
            <w:r>
              <w:rPr>
                <w:rFonts w:ascii="Arial" w:cs="Arial" w:eastAsia="Arial" w:hAnsi="Arial"/>
                <w:sz w:val="14"/>
                <w:szCs w:val="14"/>
                <w:color w:val="auto"/>
              </w:rPr>
              <w:t>Proceeds from maturity of short term investments</w:t>
            </w:r>
          </w:p>
        </w:tc>
        <w:tc>
          <w:tcPr>
            <w:tcW w:w="1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23,359</w:t>
            </w:r>
          </w:p>
        </w:tc>
        <w:tc>
          <w:tcPr>
            <w:tcW w:w="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
        </w:trPr>
        <w:tc>
          <w:tcPr>
            <w:tcW w:w="7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240" w:type="dxa"/>
            <w:vAlign w:val="bottom"/>
            <w:shd w:val="clear" w:color="auto" w:fill="F6F6F6"/>
          </w:tcPr>
          <w:p>
            <w:pPr>
              <w:ind w:left="20"/>
              <w:spacing w:after="0"/>
              <w:rPr>
                <w:sz w:val="20"/>
                <w:szCs w:val="20"/>
                <w:color w:val="auto"/>
              </w:rPr>
            </w:pPr>
            <w:r>
              <w:rPr>
                <w:rFonts w:ascii="Arial" w:cs="Arial" w:eastAsia="Arial" w:hAnsi="Arial"/>
                <w:sz w:val="14"/>
                <w:szCs w:val="14"/>
                <w:b w:val="1"/>
                <w:bCs w:val="1"/>
                <w:color w:val="auto"/>
              </w:rPr>
              <w:t>Net cash (used for) provided by investing activities</w:t>
            </w:r>
          </w:p>
        </w:tc>
        <w:tc>
          <w:tcPr>
            <w:tcW w:w="1240" w:type="dxa"/>
            <w:vAlign w:val="bottom"/>
            <w:tcBorders>
              <w:bottom w:val="single" w:sz="8" w:color="auto"/>
            </w:tcBorders>
            <w:shd w:val="clear" w:color="auto" w:fill="F6F6F6"/>
          </w:tcPr>
          <w:p>
            <w:pPr>
              <w:jc w:val="right"/>
              <w:ind w:right="1068"/>
              <w:spacing w:after="0"/>
              <w:rPr>
                <w:sz w:val="20"/>
                <w:szCs w:val="20"/>
                <w:color w:val="auto"/>
              </w:rPr>
            </w:pPr>
            <w:r>
              <w:rPr>
                <w:rFonts w:ascii="Arial" w:cs="Arial" w:eastAsia="Arial" w:hAnsi="Arial"/>
                <w:sz w:val="14"/>
                <w:szCs w:val="14"/>
                <w:b w:val="1"/>
                <w:bCs w:val="1"/>
                <w:color w:val="auto"/>
              </w:rPr>
              <w:t>$</w:t>
            </w:r>
          </w:p>
        </w:tc>
        <w:tc>
          <w:tcPr>
            <w:tcW w:w="720" w:type="dxa"/>
            <w:vAlign w:val="bottom"/>
            <w:tcBorders>
              <w:bottom w:val="single" w:sz="8" w:color="auto"/>
            </w:tcBorders>
            <w:shd w:val="clear" w:color="auto" w:fill="F6F6F6"/>
          </w:tcPr>
          <w:p>
            <w:pPr>
              <w:jc w:val="right"/>
              <w:spacing w:after="0"/>
              <w:rPr>
                <w:sz w:val="20"/>
                <w:szCs w:val="20"/>
                <w:color w:val="auto"/>
              </w:rPr>
            </w:pPr>
            <w:r>
              <w:rPr>
                <w:rFonts w:ascii="Arial" w:cs="Arial" w:eastAsia="Arial" w:hAnsi="Arial"/>
                <w:sz w:val="14"/>
                <w:szCs w:val="14"/>
                <w:b w:val="1"/>
                <w:bCs w:val="1"/>
                <w:color w:val="auto"/>
              </w:rPr>
              <w:t>779</w:t>
            </w:r>
          </w:p>
        </w:tc>
        <w:tc>
          <w:tcPr>
            <w:tcW w:w="80" w:type="dxa"/>
            <w:vAlign w:val="bottom"/>
            <w:shd w:val="clear" w:color="auto" w:fill="F6F6F6"/>
          </w:tcPr>
          <w:p>
            <w:pPr>
              <w:spacing w:after="0"/>
              <w:rPr>
                <w:sz w:val="19"/>
                <w:szCs w:val="19"/>
                <w:color w:val="auto"/>
              </w:rPr>
            </w:pPr>
          </w:p>
        </w:tc>
        <w:tc>
          <w:tcPr>
            <w:tcW w:w="1220" w:type="dxa"/>
            <w:vAlign w:val="bottom"/>
            <w:tcBorders>
              <w:bottom w:val="single" w:sz="8" w:color="auto"/>
            </w:tcBorders>
            <w:shd w:val="clear" w:color="auto" w:fill="F6F6F6"/>
          </w:tcPr>
          <w:p>
            <w:pPr>
              <w:jc w:val="right"/>
              <w:ind w:right="1048"/>
              <w:spacing w:after="0"/>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auto"/>
            </w:tcBorders>
            <w:shd w:val="clear" w:color="auto" w:fill="F6F6F6"/>
          </w:tcPr>
          <w:p>
            <w:pPr>
              <w:jc w:val="right"/>
              <w:spacing w:after="0"/>
              <w:rPr>
                <w:sz w:val="20"/>
                <w:szCs w:val="20"/>
                <w:color w:val="auto"/>
              </w:rPr>
            </w:pPr>
            <w:r>
              <w:rPr>
                <w:rFonts w:ascii="Arial" w:cs="Arial" w:eastAsia="Arial" w:hAnsi="Arial"/>
                <w:sz w:val="14"/>
                <w:szCs w:val="14"/>
                <w:b w:val="1"/>
                <w:bCs w:val="1"/>
                <w:color w:val="auto"/>
              </w:rPr>
              <w:t>(31,446)</w:t>
            </w:r>
          </w:p>
        </w:tc>
        <w:tc>
          <w:tcPr>
            <w:tcW w:w="0" w:type="dxa"/>
            <w:vAlign w:val="bottom"/>
          </w:tcPr>
          <w:p>
            <w:pPr>
              <w:spacing w:after="0"/>
              <w:rPr>
                <w:sz w:val="1"/>
                <w:szCs w:val="1"/>
                <w:color w:val="auto"/>
              </w:rPr>
            </w:pPr>
          </w:p>
        </w:tc>
      </w:tr>
      <w:tr>
        <w:trPr>
          <w:trHeight w:val="202"/>
        </w:trPr>
        <w:tc>
          <w:tcPr>
            <w:tcW w:w="7240" w:type="dxa"/>
            <w:vAlign w:val="bottom"/>
          </w:tcPr>
          <w:p>
            <w:pPr>
              <w:ind w:left="20"/>
              <w:spacing w:after="0"/>
              <w:rPr>
                <w:sz w:val="20"/>
                <w:szCs w:val="20"/>
                <w:color w:val="auto"/>
              </w:rPr>
            </w:pPr>
            <w:r>
              <w:rPr>
                <w:rFonts w:ascii="Arial" w:cs="Arial" w:eastAsia="Arial" w:hAnsi="Arial"/>
                <w:sz w:val="14"/>
                <w:szCs w:val="14"/>
                <w:b w:val="1"/>
                <w:bCs w:val="1"/>
                <w:color w:val="auto"/>
              </w:rPr>
              <w:t>Financing activities</w:t>
            </w:r>
          </w:p>
        </w:tc>
        <w:tc>
          <w:tcPr>
            <w:tcW w:w="1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7240" w:type="dxa"/>
            <w:vAlign w:val="bottom"/>
            <w:tcBorders>
              <w:bottom w:val="single" w:sz="8" w:color="F6F6F6"/>
            </w:tcBorders>
            <w:shd w:val="clear" w:color="auto" w:fill="F6F6F6"/>
          </w:tcPr>
          <w:p>
            <w:pPr>
              <w:ind w:left="20"/>
              <w:spacing w:after="0"/>
              <w:rPr>
                <w:sz w:val="20"/>
                <w:szCs w:val="20"/>
                <w:color w:val="auto"/>
              </w:rPr>
            </w:pPr>
            <w:r>
              <w:rPr>
                <w:rFonts w:ascii="Arial" w:cs="Arial" w:eastAsia="Arial" w:hAnsi="Arial"/>
                <w:sz w:val="14"/>
                <w:szCs w:val="14"/>
                <w:color w:val="auto"/>
              </w:rPr>
              <w:t>Repayment of finance lease obligations</w:t>
            </w:r>
          </w:p>
        </w:tc>
        <w:tc>
          <w:tcPr>
            <w:tcW w:w="1240" w:type="dxa"/>
            <w:vAlign w:val="bottom"/>
            <w:tcBorders>
              <w:bottom w:val="single" w:sz="8" w:color="F6F6F6"/>
            </w:tcBorders>
            <w:shd w:val="clear" w:color="auto" w:fill="F6F6F6"/>
          </w:tcPr>
          <w:p>
            <w:pPr>
              <w:spacing w:after="0"/>
              <w:rPr>
                <w:sz w:val="18"/>
                <w:szCs w:val="18"/>
                <w:color w:val="auto"/>
              </w:rPr>
            </w:pPr>
          </w:p>
        </w:tc>
        <w:tc>
          <w:tcPr>
            <w:tcW w:w="720" w:type="dxa"/>
            <w:vAlign w:val="bottom"/>
            <w:tcBorders>
              <w:bottom w:val="single" w:sz="8" w:color="F6F6F6"/>
            </w:tcBorders>
            <w:shd w:val="clear" w:color="auto" w:fill="F6F6F6"/>
          </w:tcPr>
          <w:p>
            <w:pPr>
              <w:jc w:val="right"/>
              <w:spacing w:after="0"/>
              <w:rPr>
                <w:sz w:val="20"/>
                <w:szCs w:val="20"/>
                <w:color w:val="auto"/>
              </w:rPr>
            </w:pPr>
            <w:r>
              <w:rPr>
                <w:rFonts w:ascii="Arial" w:cs="Arial" w:eastAsia="Arial" w:hAnsi="Arial"/>
                <w:sz w:val="14"/>
                <w:szCs w:val="14"/>
                <w:color w:val="auto"/>
              </w:rPr>
              <w:t>(2,349)</w:t>
            </w:r>
          </w:p>
        </w:tc>
        <w:tc>
          <w:tcPr>
            <w:tcW w:w="80" w:type="dxa"/>
            <w:vAlign w:val="bottom"/>
            <w:tcBorders>
              <w:bottom w:val="single" w:sz="8" w:color="F6F6F6"/>
            </w:tcBorders>
            <w:shd w:val="clear" w:color="auto" w:fill="F6F6F6"/>
          </w:tcPr>
          <w:p>
            <w:pPr>
              <w:spacing w:after="0"/>
              <w:rPr>
                <w:sz w:val="18"/>
                <w:szCs w:val="18"/>
                <w:color w:val="auto"/>
              </w:rPr>
            </w:pPr>
          </w:p>
        </w:tc>
        <w:tc>
          <w:tcPr>
            <w:tcW w:w="1220" w:type="dxa"/>
            <w:vAlign w:val="bottom"/>
            <w:tcBorders>
              <w:bottom w:val="single" w:sz="8" w:color="F6F6F6"/>
            </w:tcBorders>
            <w:shd w:val="clear" w:color="auto" w:fill="F6F6F6"/>
          </w:tcPr>
          <w:p>
            <w:pPr>
              <w:spacing w:after="0"/>
              <w:rPr>
                <w:sz w:val="18"/>
                <w:szCs w:val="18"/>
                <w:color w:val="auto"/>
              </w:rPr>
            </w:pPr>
          </w:p>
        </w:tc>
        <w:tc>
          <w:tcPr>
            <w:tcW w:w="740" w:type="dxa"/>
            <w:vAlign w:val="bottom"/>
            <w:tcBorders>
              <w:bottom w:val="single" w:sz="8" w:color="F6F6F6"/>
            </w:tcBorders>
            <w:shd w:val="clear" w:color="auto" w:fill="F6F6F6"/>
          </w:tcPr>
          <w:p>
            <w:pPr>
              <w:jc w:val="right"/>
              <w:spacing w:after="0"/>
              <w:rPr>
                <w:sz w:val="20"/>
                <w:szCs w:val="20"/>
                <w:color w:val="auto"/>
              </w:rPr>
            </w:pPr>
            <w:r>
              <w:rPr>
                <w:rFonts w:ascii="Arial" w:cs="Arial" w:eastAsia="Arial" w:hAnsi="Arial"/>
                <w:sz w:val="14"/>
                <w:szCs w:val="14"/>
                <w:color w:val="auto"/>
              </w:rPr>
              <w:t>(2,423)</w:t>
            </w:r>
          </w:p>
        </w:tc>
        <w:tc>
          <w:tcPr>
            <w:tcW w:w="0" w:type="dxa"/>
            <w:vAlign w:val="bottom"/>
          </w:tcPr>
          <w:p>
            <w:pPr>
              <w:spacing w:after="0"/>
              <w:rPr>
                <w:sz w:val="1"/>
                <w:szCs w:val="1"/>
                <w:color w:val="auto"/>
              </w:rPr>
            </w:pPr>
          </w:p>
        </w:tc>
      </w:tr>
      <w:tr>
        <w:trPr>
          <w:trHeight w:val="208"/>
        </w:trPr>
        <w:tc>
          <w:tcPr>
            <w:tcW w:w="7240" w:type="dxa"/>
            <w:vAlign w:val="bottom"/>
          </w:tcPr>
          <w:p>
            <w:pPr>
              <w:ind w:left="20"/>
              <w:spacing w:after="0"/>
              <w:rPr>
                <w:sz w:val="20"/>
                <w:szCs w:val="20"/>
                <w:color w:val="auto"/>
              </w:rPr>
            </w:pPr>
            <w:r>
              <w:rPr>
                <w:rFonts w:ascii="Arial" w:cs="Arial" w:eastAsia="Arial" w:hAnsi="Arial"/>
                <w:sz w:val="14"/>
                <w:szCs w:val="14"/>
                <w:color w:val="auto"/>
              </w:rPr>
              <w:t>Payment of debt issuance and refinancing costs</w:t>
            </w:r>
          </w:p>
        </w:tc>
        <w:tc>
          <w:tcPr>
            <w:tcW w:w="1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(394)</w:t>
            </w:r>
          </w:p>
        </w:tc>
        <w:tc>
          <w:tcPr>
            <w:tcW w:w="0" w:type="dxa"/>
            <w:vAlign w:val="bottom"/>
          </w:tcPr>
          <w:p>
            <w:pPr>
              <w:spacing w:after="0"/>
              <w:rPr>
                <w:sz w:val="1"/>
                <w:szCs w:val="1"/>
                <w:color w:val="auto"/>
              </w:rPr>
            </w:pPr>
          </w:p>
        </w:tc>
      </w:tr>
      <w:tr>
        <w:trPr>
          <w:trHeight w:val="22"/>
        </w:trPr>
        <w:tc>
          <w:tcPr>
            <w:tcW w:w="7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240" w:type="dxa"/>
            <w:vAlign w:val="bottom"/>
            <w:tcBorders>
              <w:bottom w:val="single" w:sz="8" w:color="F6F6F6"/>
            </w:tcBorders>
            <w:shd w:val="clear" w:color="auto" w:fill="F6F6F6"/>
          </w:tcPr>
          <w:p>
            <w:pPr>
              <w:ind w:left="20"/>
              <w:spacing w:after="0"/>
              <w:rPr>
                <w:sz w:val="20"/>
                <w:szCs w:val="20"/>
                <w:color w:val="auto"/>
              </w:rPr>
            </w:pPr>
            <w:r>
              <w:rPr>
                <w:rFonts w:ascii="Arial" w:cs="Arial" w:eastAsia="Arial" w:hAnsi="Arial"/>
                <w:sz w:val="14"/>
                <w:szCs w:val="14"/>
                <w:color w:val="auto"/>
              </w:rPr>
              <w:t>Repayment of long-term debt</w:t>
            </w:r>
          </w:p>
        </w:tc>
        <w:tc>
          <w:tcPr>
            <w:tcW w:w="1240" w:type="dxa"/>
            <w:vAlign w:val="bottom"/>
            <w:tcBorders>
              <w:bottom w:val="single" w:sz="8" w:color="F6F6F6"/>
            </w:tcBorders>
            <w:shd w:val="clear" w:color="auto" w:fill="F6F6F6"/>
          </w:tcPr>
          <w:p>
            <w:pPr>
              <w:spacing w:after="0"/>
              <w:rPr>
                <w:sz w:val="18"/>
                <w:szCs w:val="18"/>
                <w:color w:val="auto"/>
              </w:rPr>
            </w:pPr>
          </w:p>
        </w:tc>
        <w:tc>
          <w:tcPr>
            <w:tcW w:w="720" w:type="dxa"/>
            <w:vAlign w:val="bottom"/>
            <w:tcBorders>
              <w:bottom w:val="single" w:sz="8" w:color="F6F6F6"/>
            </w:tcBorders>
            <w:shd w:val="clear" w:color="auto" w:fill="F6F6F6"/>
          </w:tcPr>
          <w:p>
            <w:pPr>
              <w:jc w:val="right"/>
              <w:spacing w:after="0"/>
              <w:rPr>
                <w:sz w:val="20"/>
                <w:szCs w:val="20"/>
                <w:color w:val="auto"/>
              </w:rPr>
            </w:pPr>
            <w:r>
              <w:rPr>
                <w:rFonts w:ascii="Arial" w:cs="Arial" w:eastAsia="Arial" w:hAnsi="Arial"/>
                <w:sz w:val="14"/>
                <w:szCs w:val="14"/>
                <w:color w:val="auto"/>
              </w:rPr>
              <w:t>(6,625)</w:t>
            </w:r>
          </w:p>
        </w:tc>
        <w:tc>
          <w:tcPr>
            <w:tcW w:w="80" w:type="dxa"/>
            <w:vAlign w:val="bottom"/>
            <w:tcBorders>
              <w:bottom w:val="single" w:sz="8" w:color="F6F6F6"/>
            </w:tcBorders>
            <w:shd w:val="clear" w:color="auto" w:fill="F6F6F6"/>
          </w:tcPr>
          <w:p>
            <w:pPr>
              <w:spacing w:after="0"/>
              <w:rPr>
                <w:sz w:val="18"/>
                <w:szCs w:val="18"/>
                <w:color w:val="auto"/>
              </w:rPr>
            </w:pPr>
          </w:p>
        </w:tc>
        <w:tc>
          <w:tcPr>
            <w:tcW w:w="1220" w:type="dxa"/>
            <w:vAlign w:val="bottom"/>
            <w:tcBorders>
              <w:bottom w:val="single" w:sz="8" w:color="F6F6F6"/>
            </w:tcBorders>
            <w:shd w:val="clear" w:color="auto" w:fill="F6F6F6"/>
          </w:tcPr>
          <w:p>
            <w:pPr>
              <w:spacing w:after="0"/>
              <w:rPr>
                <w:sz w:val="18"/>
                <w:szCs w:val="18"/>
                <w:color w:val="auto"/>
              </w:rPr>
            </w:pPr>
          </w:p>
        </w:tc>
        <w:tc>
          <w:tcPr>
            <w:tcW w:w="740" w:type="dxa"/>
            <w:vAlign w:val="bottom"/>
            <w:tcBorders>
              <w:bottom w:val="single" w:sz="8" w:color="F6F6F6"/>
            </w:tcBorders>
            <w:shd w:val="clear" w:color="auto" w:fill="F6F6F6"/>
          </w:tcPr>
          <w:p>
            <w:pPr>
              <w:jc w:val="right"/>
              <w:spacing w:after="0"/>
              <w:rPr>
                <w:sz w:val="20"/>
                <w:szCs w:val="20"/>
                <w:color w:val="auto"/>
              </w:rPr>
            </w:pPr>
            <w:r>
              <w:rPr>
                <w:rFonts w:ascii="Arial" w:cs="Arial" w:eastAsia="Arial" w:hAnsi="Arial"/>
                <w:sz w:val="14"/>
                <w:szCs w:val="14"/>
                <w:color w:val="auto"/>
              </w:rPr>
              <w:t>(6,625)</w:t>
            </w:r>
          </w:p>
        </w:tc>
        <w:tc>
          <w:tcPr>
            <w:tcW w:w="0" w:type="dxa"/>
            <w:vAlign w:val="bottom"/>
          </w:tcPr>
          <w:p>
            <w:pPr>
              <w:spacing w:after="0"/>
              <w:rPr>
                <w:sz w:val="1"/>
                <w:szCs w:val="1"/>
                <w:color w:val="auto"/>
              </w:rPr>
            </w:pPr>
          </w:p>
        </w:tc>
      </w:tr>
      <w:tr>
        <w:trPr>
          <w:trHeight w:val="208"/>
        </w:trPr>
        <w:tc>
          <w:tcPr>
            <w:tcW w:w="7240" w:type="dxa"/>
            <w:vAlign w:val="bottom"/>
          </w:tcPr>
          <w:p>
            <w:pPr>
              <w:ind w:left="20"/>
              <w:spacing w:after="0"/>
              <w:rPr>
                <w:sz w:val="20"/>
                <w:szCs w:val="20"/>
                <w:color w:val="auto"/>
              </w:rPr>
            </w:pPr>
            <w:r>
              <w:rPr>
                <w:rFonts w:ascii="Arial" w:cs="Arial" w:eastAsia="Arial" w:hAnsi="Arial"/>
                <w:sz w:val="14"/>
                <w:szCs w:val="14"/>
                <w:color w:val="auto"/>
              </w:rPr>
              <w:t>Proceeds from issuance of common shares under stock-based compensation plans</w:t>
            </w:r>
          </w:p>
        </w:tc>
        <w:tc>
          <w:tcPr>
            <w:tcW w:w="1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6,943</w:t>
            </w:r>
          </w:p>
        </w:tc>
        <w:tc>
          <w:tcPr>
            <w:tcW w:w="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2,818</w:t>
            </w:r>
          </w:p>
        </w:tc>
        <w:tc>
          <w:tcPr>
            <w:tcW w:w="0" w:type="dxa"/>
            <w:vAlign w:val="bottom"/>
          </w:tcPr>
          <w:p>
            <w:pPr>
              <w:spacing w:after="0"/>
              <w:rPr>
                <w:sz w:val="1"/>
                <w:szCs w:val="1"/>
                <w:color w:val="auto"/>
              </w:rPr>
            </w:pPr>
          </w:p>
        </w:tc>
      </w:tr>
      <w:tr>
        <w:trPr>
          <w:trHeight w:val="22"/>
        </w:trPr>
        <w:tc>
          <w:tcPr>
            <w:tcW w:w="7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240" w:type="dxa"/>
            <w:vAlign w:val="bottom"/>
            <w:tcBorders>
              <w:bottom w:val="single" w:sz="8" w:color="F6F6F6"/>
            </w:tcBorders>
            <w:shd w:val="clear" w:color="auto" w:fill="F6F6F6"/>
          </w:tcPr>
          <w:p>
            <w:pPr>
              <w:ind w:left="20"/>
              <w:spacing w:after="0"/>
              <w:rPr>
                <w:sz w:val="20"/>
                <w:szCs w:val="20"/>
                <w:color w:val="auto"/>
              </w:rPr>
            </w:pPr>
            <w:r>
              <w:rPr>
                <w:rFonts w:ascii="Arial" w:cs="Arial" w:eastAsia="Arial" w:hAnsi="Arial"/>
                <w:sz w:val="14"/>
                <w:szCs w:val="14"/>
                <w:color w:val="auto"/>
              </w:rPr>
              <w:t>Payment for net settlement of stock-based awards</w:t>
            </w:r>
          </w:p>
        </w:tc>
        <w:tc>
          <w:tcPr>
            <w:tcW w:w="1240" w:type="dxa"/>
            <w:vAlign w:val="bottom"/>
            <w:tcBorders>
              <w:bottom w:val="single" w:sz="8" w:color="F6F6F6"/>
            </w:tcBorders>
            <w:shd w:val="clear" w:color="auto" w:fill="F6F6F6"/>
          </w:tcPr>
          <w:p>
            <w:pPr>
              <w:spacing w:after="0"/>
              <w:rPr>
                <w:sz w:val="18"/>
                <w:szCs w:val="18"/>
                <w:color w:val="auto"/>
              </w:rPr>
            </w:pPr>
          </w:p>
        </w:tc>
        <w:tc>
          <w:tcPr>
            <w:tcW w:w="720" w:type="dxa"/>
            <w:vAlign w:val="bottom"/>
            <w:tcBorders>
              <w:bottom w:val="single" w:sz="8" w:color="F6F6F6"/>
            </w:tcBorders>
            <w:shd w:val="clear" w:color="auto" w:fill="F6F6F6"/>
          </w:tcPr>
          <w:p>
            <w:pPr>
              <w:jc w:val="right"/>
              <w:spacing w:after="0"/>
              <w:rPr>
                <w:sz w:val="20"/>
                <w:szCs w:val="20"/>
                <w:color w:val="auto"/>
              </w:rPr>
            </w:pPr>
            <w:r>
              <w:rPr>
                <w:rFonts w:ascii="Arial" w:cs="Arial" w:eastAsia="Arial" w:hAnsi="Arial"/>
                <w:sz w:val="14"/>
                <w:szCs w:val="14"/>
                <w:color w:val="auto"/>
              </w:rPr>
              <w:t>(30,742)</w:t>
            </w:r>
          </w:p>
        </w:tc>
        <w:tc>
          <w:tcPr>
            <w:tcW w:w="80" w:type="dxa"/>
            <w:vAlign w:val="bottom"/>
            <w:tcBorders>
              <w:bottom w:val="single" w:sz="8" w:color="F6F6F6"/>
            </w:tcBorders>
            <w:shd w:val="clear" w:color="auto" w:fill="F6F6F6"/>
          </w:tcPr>
          <w:p>
            <w:pPr>
              <w:spacing w:after="0"/>
              <w:rPr>
                <w:sz w:val="18"/>
                <w:szCs w:val="18"/>
                <w:color w:val="auto"/>
              </w:rPr>
            </w:pPr>
          </w:p>
        </w:tc>
        <w:tc>
          <w:tcPr>
            <w:tcW w:w="1220" w:type="dxa"/>
            <w:vAlign w:val="bottom"/>
            <w:tcBorders>
              <w:bottom w:val="single" w:sz="8" w:color="F6F6F6"/>
            </w:tcBorders>
            <w:shd w:val="clear" w:color="auto" w:fill="F6F6F6"/>
          </w:tcPr>
          <w:p>
            <w:pPr>
              <w:spacing w:after="0"/>
              <w:rPr>
                <w:sz w:val="18"/>
                <w:szCs w:val="18"/>
                <w:color w:val="auto"/>
              </w:rPr>
            </w:pPr>
          </w:p>
        </w:tc>
        <w:tc>
          <w:tcPr>
            <w:tcW w:w="740" w:type="dxa"/>
            <w:vAlign w:val="bottom"/>
            <w:tcBorders>
              <w:bottom w:val="single" w:sz="8" w:color="F6F6F6"/>
            </w:tcBorders>
            <w:shd w:val="clear" w:color="auto" w:fill="F6F6F6"/>
          </w:tcPr>
          <w:p>
            <w:pPr>
              <w:jc w:val="right"/>
              <w:spacing w:after="0"/>
              <w:rPr>
                <w:sz w:val="20"/>
                <w:szCs w:val="20"/>
                <w:color w:val="auto"/>
              </w:rPr>
            </w:pPr>
            <w:r>
              <w:rPr>
                <w:rFonts w:ascii="Arial" w:cs="Arial" w:eastAsia="Arial" w:hAnsi="Arial"/>
                <w:sz w:val="14"/>
                <w:szCs w:val="14"/>
                <w:color w:val="auto"/>
              </w:rPr>
              <w:t>(18,445)</w:t>
            </w:r>
          </w:p>
        </w:tc>
        <w:tc>
          <w:tcPr>
            <w:tcW w:w="0" w:type="dxa"/>
            <w:vAlign w:val="bottom"/>
          </w:tcPr>
          <w:p>
            <w:pPr>
              <w:spacing w:after="0"/>
              <w:rPr>
                <w:sz w:val="1"/>
                <w:szCs w:val="1"/>
                <w:color w:val="auto"/>
              </w:rPr>
            </w:pPr>
          </w:p>
        </w:tc>
      </w:tr>
      <w:tr>
        <w:trPr>
          <w:trHeight w:val="208"/>
        </w:trPr>
        <w:tc>
          <w:tcPr>
            <w:tcW w:w="7240" w:type="dxa"/>
            <w:vAlign w:val="bottom"/>
          </w:tcPr>
          <w:p>
            <w:pPr>
              <w:ind w:left="20"/>
              <w:spacing w:after="0"/>
              <w:rPr>
                <w:sz w:val="20"/>
                <w:szCs w:val="20"/>
                <w:color w:val="auto"/>
              </w:rPr>
            </w:pPr>
            <w:r>
              <w:rPr>
                <w:rFonts w:ascii="Arial" w:cs="Arial" w:eastAsia="Arial" w:hAnsi="Arial"/>
                <w:sz w:val="14"/>
                <w:szCs w:val="14"/>
                <w:color w:val="auto"/>
              </w:rPr>
              <w:t>Dividend paid</w:t>
            </w:r>
          </w:p>
        </w:tc>
        <w:tc>
          <w:tcPr>
            <w:tcW w:w="1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(29,784)</w:t>
            </w:r>
          </w:p>
        </w:tc>
        <w:tc>
          <w:tcPr>
            <w:tcW w:w="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(31,773)</w:t>
            </w:r>
          </w:p>
        </w:tc>
        <w:tc>
          <w:tcPr>
            <w:tcW w:w="0" w:type="dxa"/>
            <w:vAlign w:val="bottom"/>
          </w:tcPr>
          <w:p>
            <w:pPr>
              <w:spacing w:after="0"/>
              <w:rPr>
                <w:sz w:val="1"/>
                <w:szCs w:val="1"/>
                <w:color w:val="auto"/>
              </w:rPr>
            </w:pPr>
          </w:p>
        </w:tc>
      </w:tr>
      <w:tr>
        <w:trPr>
          <w:trHeight w:val="21"/>
        </w:trPr>
        <w:tc>
          <w:tcPr>
            <w:tcW w:w="7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240" w:type="dxa"/>
            <w:vAlign w:val="bottom"/>
            <w:tcBorders>
              <w:bottom w:val="single" w:sz="8" w:color="F6F6F6"/>
            </w:tcBorders>
            <w:shd w:val="clear" w:color="auto" w:fill="F6F6F6"/>
          </w:tcPr>
          <w:p>
            <w:pPr>
              <w:ind w:left="20"/>
              <w:spacing w:after="0"/>
              <w:rPr>
                <w:sz w:val="20"/>
                <w:szCs w:val="20"/>
                <w:color w:val="auto"/>
              </w:rPr>
            </w:pPr>
            <w:r>
              <w:rPr>
                <w:rFonts w:ascii="Arial" w:cs="Arial" w:eastAsia="Arial" w:hAnsi="Arial"/>
                <w:sz w:val="14"/>
                <w:szCs w:val="14"/>
                <w:color w:val="auto"/>
              </w:rPr>
              <w:t>Payment of earn-out consideration</w:t>
            </w:r>
          </w:p>
        </w:tc>
        <w:tc>
          <w:tcPr>
            <w:tcW w:w="1240" w:type="dxa"/>
            <w:vAlign w:val="bottom"/>
            <w:tcBorders>
              <w:bottom w:val="single" w:sz="8" w:color="F6F6F6"/>
            </w:tcBorders>
            <w:shd w:val="clear" w:color="auto" w:fill="F6F6F6"/>
          </w:tcPr>
          <w:p>
            <w:pPr>
              <w:spacing w:after="0"/>
              <w:rPr>
                <w:sz w:val="18"/>
                <w:szCs w:val="18"/>
                <w:color w:val="auto"/>
              </w:rPr>
            </w:pPr>
          </w:p>
        </w:tc>
        <w:tc>
          <w:tcPr>
            <w:tcW w:w="800" w:type="dxa"/>
            <w:vAlign w:val="bottom"/>
            <w:tcBorders>
              <w:bottom w:val="single" w:sz="8" w:color="F6F6F6"/>
            </w:tcBorders>
            <w:gridSpan w:val="2"/>
            <w:shd w:val="clear" w:color="auto" w:fill="F6F6F6"/>
          </w:tcPr>
          <w:p>
            <w:pPr>
              <w:jc w:val="right"/>
              <w:ind w:right="140"/>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F6F6F6"/>
            </w:tcBorders>
            <w:shd w:val="clear" w:color="auto" w:fill="F6F6F6"/>
          </w:tcPr>
          <w:p>
            <w:pPr>
              <w:spacing w:after="0"/>
              <w:rPr>
                <w:sz w:val="18"/>
                <w:szCs w:val="18"/>
                <w:color w:val="auto"/>
              </w:rPr>
            </w:pPr>
          </w:p>
        </w:tc>
        <w:tc>
          <w:tcPr>
            <w:tcW w:w="740" w:type="dxa"/>
            <w:vAlign w:val="bottom"/>
            <w:tcBorders>
              <w:bottom w:val="single" w:sz="8" w:color="F6F6F6"/>
            </w:tcBorders>
            <w:shd w:val="clear" w:color="auto" w:fill="F6F6F6"/>
          </w:tcPr>
          <w:p>
            <w:pPr>
              <w:jc w:val="right"/>
              <w:spacing w:after="0"/>
              <w:rPr>
                <w:sz w:val="20"/>
                <w:szCs w:val="20"/>
                <w:color w:val="auto"/>
              </w:rPr>
            </w:pPr>
            <w:r>
              <w:rPr>
                <w:rFonts w:ascii="Arial" w:cs="Arial" w:eastAsia="Arial" w:hAnsi="Arial"/>
                <w:sz w:val="14"/>
                <w:szCs w:val="14"/>
                <w:color w:val="auto"/>
              </w:rPr>
              <w:t>(77,500)</w:t>
            </w:r>
          </w:p>
        </w:tc>
        <w:tc>
          <w:tcPr>
            <w:tcW w:w="0" w:type="dxa"/>
            <w:vAlign w:val="bottom"/>
          </w:tcPr>
          <w:p>
            <w:pPr>
              <w:spacing w:after="0"/>
              <w:rPr>
                <w:sz w:val="1"/>
                <w:szCs w:val="1"/>
                <w:color w:val="auto"/>
              </w:rPr>
            </w:pPr>
          </w:p>
        </w:tc>
      </w:tr>
      <w:tr>
        <w:trPr>
          <w:trHeight w:val="208"/>
        </w:trPr>
        <w:tc>
          <w:tcPr>
            <w:tcW w:w="7240" w:type="dxa"/>
            <w:vAlign w:val="bottom"/>
          </w:tcPr>
          <w:p>
            <w:pPr>
              <w:ind w:left="20"/>
              <w:spacing w:after="0"/>
              <w:rPr>
                <w:sz w:val="20"/>
                <w:szCs w:val="20"/>
                <w:color w:val="auto"/>
              </w:rPr>
            </w:pPr>
            <w:r>
              <w:rPr>
                <w:rFonts w:ascii="Arial" w:cs="Arial" w:eastAsia="Arial" w:hAnsi="Arial"/>
                <w:sz w:val="14"/>
                <w:szCs w:val="14"/>
                <w:color w:val="auto"/>
              </w:rPr>
              <w:t>Payment for stock repurchased and retired (including expenses related to stock repurchased)</w:t>
            </w:r>
          </w:p>
        </w:tc>
        <w:tc>
          <w:tcPr>
            <w:tcW w:w="1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(62,987)</w:t>
            </w:r>
          </w:p>
        </w:tc>
        <w:tc>
          <w:tcPr>
            <w:tcW w:w="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(69,992)</w:t>
            </w:r>
          </w:p>
        </w:tc>
        <w:tc>
          <w:tcPr>
            <w:tcW w:w="0" w:type="dxa"/>
            <w:vAlign w:val="bottom"/>
          </w:tcPr>
          <w:p>
            <w:pPr>
              <w:spacing w:after="0"/>
              <w:rPr>
                <w:sz w:val="1"/>
                <w:szCs w:val="1"/>
                <w:color w:val="auto"/>
              </w:rPr>
            </w:pPr>
          </w:p>
        </w:tc>
      </w:tr>
      <w:tr>
        <w:trPr>
          <w:trHeight w:val="22"/>
        </w:trPr>
        <w:tc>
          <w:tcPr>
            <w:tcW w:w="7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240" w:type="dxa"/>
            <w:vAlign w:val="bottom"/>
            <w:shd w:val="clear" w:color="auto" w:fill="F6F6F6"/>
          </w:tcPr>
          <w:p>
            <w:pPr>
              <w:ind w:left="20"/>
              <w:spacing w:after="0"/>
              <w:rPr>
                <w:sz w:val="20"/>
                <w:szCs w:val="20"/>
                <w:color w:val="auto"/>
              </w:rPr>
            </w:pPr>
            <w:r>
              <w:rPr>
                <w:rFonts w:ascii="Arial" w:cs="Arial" w:eastAsia="Arial" w:hAnsi="Arial"/>
                <w:sz w:val="14"/>
                <w:szCs w:val="14"/>
                <w:b w:val="1"/>
                <w:bCs w:val="1"/>
                <w:color w:val="auto"/>
              </w:rPr>
              <w:t>Net cash used for financing activities</w:t>
            </w:r>
          </w:p>
        </w:tc>
        <w:tc>
          <w:tcPr>
            <w:tcW w:w="1240" w:type="dxa"/>
            <w:vAlign w:val="bottom"/>
            <w:tcBorders>
              <w:bottom w:val="single" w:sz="8" w:color="auto"/>
            </w:tcBorders>
            <w:shd w:val="clear" w:color="auto" w:fill="F6F6F6"/>
          </w:tcPr>
          <w:p>
            <w:pPr>
              <w:jc w:val="right"/>
              <w:ind w:right="1068"/>
              <w:spacing w:after="0"/>
              <w:rPr>
                <w:sz w:val="20"/>
                <w:szCs w:val="20"/>
                <w:color w:val="auto"/>
              </w:rPr>
            </w:pPr>
            <w:r>
              <w:rPr>
                <w:rFonts w:ascii="Arial" w:cs="Arial" w:eastAsia="Arial" w:hAnsi="Arial"/>
                <w:sz w:val="14"/>
                <w:szCs w:val="14"/>
                <w:b w:val="1"/>
                <w:bCs w:val="1"/>
                <w:color w:val="auto"/>
              </w:rPr>
              <w:t>$</w:t>
            </w:r>
          </w:p>
        </w:tc>
        <w:tc>
          <w:tcPr>
            <w:tcW w:w="720" w:type="dxa"/>
            <w:vAlign w:val="bottom"/>
            <w:tcBorders>
              <w:bottom w:val="single" w:sz="8" w:color="auto"/>
            </w:tcBorders>
            <w:shd w:val="clear" w:color="auto" w:fill="F6F6F6"/>
          </w:tcPr>
          <w:p>
            <w:pPr>
              <w:jc w:val="right"/>
              <w:spacing w:after="0"/>
              <w:rPr>
                <w:sz w:val="20"/>
                <w:szCs w:val="20"/>
                <w:color w:val="auto"/>
              </w:rPr>
            </w:pPr>
            <w:r>
              <w:rPr>
                <w:rFonts w:ascii="Arial" w:cs="Arial" w:eastAsia="Arial" w:hAnsi="Arial"/>
                <w:sz w:val="14"/>
                <w:szCs w:val="14"/>
                <w:b w:val="1"/>
                <w:bCs w:val="1"/>
                <w:color w:val="auto"/>
              </w:rPr>
              <w:t>(125,544)</w:t>
            </w:r>
          </w:p>
        </w:tc>
        <w:tc>
          <w:tcPr>
            <w:tcW w:w="80" w:type="dxa"/>
            <w:vAlign w:val="bottom"/>
            <w:shd w:val="clear" w:color="auto" w:fill="F6F6F6"/>
          </w:tcPr>
          <w:p>
            <w:pPr>
              <w:spacing w:after="0"/>
              <w:rPr>
                <w:sz w:val="19"/>
                <w:szCs w:val="19"/>
                <w:color w:val="auto"/>
              </w:rPr>
            </w:pPr>
          </w:p>
        </w:tc>
        <w:tc>
          <w:tcPr>
            <w:tcW w:w="1220" w:type="dxa"/>
            <w:vAlign w:val="bottom"/>
            <w:tcBorders>
              <w:bottom w:val="single" w:sz="8" w:color="auto"/>
            </w:tcBorders>
            <w:shd w:val="clear" w:color="auto" w:fill="F6F6F6"/>
          </w:tcPr>
          <w:p>
            <w:pPr>
              <w:jc w:val="right"/>
              <w:ind w:right="1048"/>
              <w:spacing w:after="0"/>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auto"/>
            </w:tcBorders>
            <w:shd w:val="clear" w:color="auto" w:fill="F6F6F6"/>
          </w:tcPr>
          <w:p>
            <w:pPr>
              <w:jc w:val="right"/>
              <w:spacing w:after="0"/>
              <w:rPr>
                <w:sz w:val="20"/>
                <w:szCs w:val="20"/>
                <w:color w:val="auto"/>
              </w:rPr>
            </w:pPr>
            <w:r>
              <w:rPr>
                <w:rFonts w:ascii="Arial" w:cs="Arial" w:eastAsia="Arial" w:hAnsi="Arial"/>
                <w:sz w:val="14"/>
                <w:szCs w:val="14"/>
                <w:b w:val="1"/>
                <w:bCs w:val="1"/>
                <w:color w:val="auto"/>
              </w:rPr>
              <w:t>(204,334)</w:t>
            </w:r>
          </w:p>
        </w:tc>
        <w:tc>
          <w:tcPr>
            <w:tcW w:w="0" w:type="dxa"/>
            <w:vAlign w:val="bottom"/>
          </w:tcPr>
          <w:p>
            <w:pPr>
              <w:spacing w:after="0"/>
              <w:rPr>
                <w:sz w:val="1"/>
                <w:szCs w:val="1"/>
                <w:color w:val="auto"/>
              </w:rPr>
            </w:pPr>
          </w:p>
        </w:tc>
      </w:tr>
      <w:tr>
        <w:trPr>
          <w:trHeight w:val="201"/>
        </w:trPr>
        <w:tc>
          <w:tcPr>
            <w:tcW w:w="7240" w:type="dxa"/>
            <w:vAlign w:val="bottom"/>
          </w:tcPr>
          <w:p>
            <w:pPr>
              <w:ind w:left="20"/>
              <w:spacing w:after="0"/>
              <w:rPr>
                <w:sz w:val="20"/>
                <w:szCs w:val="20"/>
                <w:color w:val="auto"/>
              </w:rPr>
            </w:pPr>
            <w:r>
              <w:rPr>
                <w:rFonts w:ascii="Arial" w:cs="Arial" w:eastAsia="Arial" w:hAnsi="Arial"/>
                <w:sz w:val="14"/>
                <w:szCs w:val="14"/>
                <w:color w:val="auto"/>
              </w:rPr>
              <w:t>Net decrease in cash and cash equivalents</w:t>
            </w:r>
          </w:p>
        </w:tc>
        <w:tc>
          <w:tcPr>
            <w:tcW w:w="12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(84,329)</w:t>
            </w:r>
          </w:p>
        </w:tc>
        <w:tc>
          <w:tcPr>
            <w:tcW w:w="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(259,315)</w:t>
            </w:r>
          </w:p>
        </w:tc>
        <w:tc>
          <w:tcPr>
            <w:tcW w:w="0" w:type="dxa"/>
            <w:vAlign w:val="bottom"/>
          </w:tcPr>
          <w:p>
            <w:pPr>
              <w:spacing w:after="0"/>
              <w:rPr>
                <w:sz w:val="1"/>
                <w:szCs w:val="1"/>
                <w:color w:val="auto"/>
              </w:rPr>
            </w:pPr>
          </w:p>
        </w:tc>
      </w:tr>
      <w:tr>
        <w:trPr>
          <w:trHeight w:val="22"/>
        </w:trPr>
        <w:tc>
          <w:tcPr>
            <w:tcW w:w="7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240" w:type="dxa"/>
            <w:vAlign w:val="bottom"/>
            <w:tcBorders>
              <w:bottom w:val="single" w:sz="8" w:color="F6F6F6"/>
            </w:tcBorders>
            <w:shd w:val="clear" w:color="auto" w:fill="F6F6F6"/>
          </w:tcPr>
          <w:p>
            <w:pPr>
              <w:ind w:left="20"/>
              <w:spacing w:after="0"/>
              <w:rPr>
                <w:sz w:val="20"/>
                <w:szCs w:val="20"/>
                <w:color w:val="auto"/>
              </w:rPr>
            </w:pPr>
            <w:r>
              <w:rPr>
                <w:rFonts w:ascii="Arial" w:cs="Arial" w:eastAsia="Arial" w:hAnsi="Arial"/>
                <w:sz w:val="14"/>
                <w:szCs w:val="14"/>
                <w:color w:val="auto"/>
              </w:rPr>
              <w:t>Effect of exchange rate changes</w:t>
            </w:r>
          </w:p>
        </w:tc>
        <w:tc>
          <w:tcPr>
            <w:tcW w:w="1240" w:type="dxa"/>
            <w:vAlign w:val="bottom"/>
            <w:tcBorders>
              <w:bottom w:val="single" w:sz="8" w:color="F6F6F6"/>
            </w:tcBorders>
            <w:shd w:val="clear" w:color="auto" w:fill="F6F6F6"/>
          </w:tcPr>
          <w:p>
            <w:pPr>
              <w:spacing w:after="0"/>
              <w:rPr>
                <w:sz w:val="18"/>
                <w:szCs w:val="18"/>
                <w:color w:val="auto"/>
              </w:rPr>
            </w:pPr>
          </w:p>
        </w:tc>
        <w:tc>
          <w:tcPr>
            <w:tcW w:w="720" w:type="dxa"/>
            <w:vAlign w:val="bottom"/>
            <w:tcBorders>
              <w:bottom w:val="single" w:sz="8" w:color="F6F6F6"/>
            </w:tcBorders>
            <w:shd w:val="clear" w:color="auto" w:fill="F6F6F6"/>
          </w:tcPr>
          <w:p>
            <w:pPr>
              <w:jc w:val="right"/>
              <w:spacing w:after="0"/>
              <w:rPr>
                <w:sz w:val="20"/>
                <w:szCs w:val="20"/>
                <w:color w:val="auto"/>
              </w:rPr>
            </w:pPr>
            <w:r>
              <w:rPr>
                <w:rFonts w:ascii="Arial" w:cs="Arial" w:eastAsia="Arial" w:hAnsi="Arial"/>
                <w:sz w:val="14"/>
                <w:szCs w:val="14"/>
                <w:color w:val="auto"/>
              </w:rPr>
              <w:t>(2,302)</w:t>
            </w:r>
          </w:p>
        </w:tc>
        <w:tc>
          <w:tcPr>
            <w:tcW w:w="80" w:type="dxa"/>
            <w:vAlign w:val="bottom"/>
            <w:tcBorders>
              <w:bottom w:val="single" w:sz="8" w:color="F6F6F6"/>
            </w:tcBorders>
            <w:shd w:val="clear" w:color="auto" w:fill="F6F6F6"/>
          </w:tcPr>
          <w:p>
            <w:pPr>
              <w:spacing w:after="0"/>
              <w:rPr>
                <w:sz w:val="18"/>
                <w:szCs w:val="18"/>
                <w:color w:val="auto"/>
              </w:rPr>
            </w:pPr>
          </w:p>
        </w:tc>
        <w:tc>
          <w:tcPr>
            <w:tcW w:w="1220" w:type="dxa"/>
            <w:vAlign w:val="bottom"/>
            <w:tcBorders>
              <w:bottom w:val="single" w:sz="8" w:color="F6F6F6"/>
            </w:tcBorders>
            <w:shd w:val="clear" w:color="auto" w:fill="F6F6F6"/>
          </w:tcPr>
          <w:p>
            <w:pPr>
              <w:spacing w:after="0"/>
              <w:rPr>
                <w:sz w:val="18"/>
                <w:szCs w:val="18"/>
                <w:color w:val="auto"/>
              </w:rPr>
            </w:pPr>
          </w:p>
        </w:tc>
        <w:tc>
          <w:tcPr>
            <w:tcW w:w="740" w:type="dxa"/>
            <w:vAlign w:val="bottom"/>
            <w:tcBorders>
              <w:bottom w:val="single" w:sz="8" w:color="F6F6F6"/>
            </w:tcBorders>
            <w:shd w:val="clear" w:color="auto" w:fill="F6F6F6"/>
          </w:tcPr>
          <w:p>
            <w:pPr>
              <w:jc w:val="right"/>
              <w:spacing w:after="0"/>
              <w:rPr>
                <w:sz w:val="20"/>
                <w:szCs w:val="20"/>
                <w:color w:val="auto"/>
              </w:rPr>
            </w:pPr>
            <w:r>
              <w:rPr>
                <w:rFonts w:ascii="Arial" w:cs="Arial" w:eastAsia="Arial" w:hAnsi="Arial"/>
                <w:sz w:val="14"/>
                <w:szCs w:val="14"/>
                <w:color w:val="auto"/>
              </w:rPr>
              <w:t>(16,442)</w:t>
            </w:r>
          </w:p>
        </w:tc>
        <w:tc>
          <w:tcPr>
            <w:tcW w:w="0" w:type="dxa"/>
            <w:vAlign w:val="bottom"/>
          </w:tcPr>
          <w:p>
            <w:pPr>
              <w:spacing w:after="0"/>
              <w:rPr>
                <w:sz w:val="1"/>
                <w:szCs w:val="1"/>
                <w:color w:val="auto"/>
              </w:rPr>
            </w:pPr>
          </w:p>
        </w:tc>
      </w:tr>
      <w:tr>
        <w:trPr>
          <w:trHeight w:val="208"/>
        </w:trPr>
        <w:tc>
          <w:tcPr>
            <w:tcW w:w="7240" w:type="dxa"/>
            <w:vAlign w:val="bottom"/>
          </w:tcPr>
          <w:p>
            <w:pPr>
              <w:ind w:left="20"/>
              <w:spacing w:after="0"/>
              <w:rPr>
                <w:sz w:val="20"/>
                <w:szCs w:val="20"/>
                <w:color w:val="auto"/>
              </w:rPr>
            </w:pPr>
            <w:r>
              <w:rPr>
                <w:rFonts w:ascii="Arial" w:cs="Arial" w:eastAsia="Arial" w:hAnsi="Arial"/>
                <w:sz w:val="14"/>
                <w:szCs w:val="14"/>
                <w:color w:val="auto"/>
              </w:rPr>
              <w:t>Cash and cash equivalents at the beginning of the period</w:t>
            </w:r>
          </w:p>
        </w:tc>
        <w:tc>
          <w:tcPr>
            <w:tcW w:w="1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648,246</w:t>
            </w:r>
          </w:p>
        </w:tc>
        <w:tc>
          <w:tcPr>
            <w:tcW w:w="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853,836</w:t>
            </w:r>
          </w:p>
        </w:tc>
        <w:tc>
          <w:tcPr>
            <w:tcW w:w="0" w:type="dxa"/>
            <w:vAlign w:val="bottom"/>
          </w:tcPr>
          <w:p>
            <w:pPr>
              <w:spacing w:after="0"/>
              <w:rPr>
                <w:sz w:val="1"/>
                <w:szCs w:val="1"/>
                <w:color w:val="auto"/>
              </w:rPr>
            </w:pPr>
          </w:p>
        </w:tc>
      </w:tr>
      <w:tr>
        <w:trPr>
          <w:trHeight w:val="22"/>
        </w:trPr>
        <w:tc>
          <w:tcPr>
            <w:tcW w:w="7240" w:type="dxa"/>
            <w:vAlign w:val="bottom"/>
            <w:tcBorders>
              <w:bottom w:val="single" w:sz="8" w:color="F6F6F6"/>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F6F6F6"/>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2"/>
        </w:trPr>
        <w:tc>
          <w:tcPr>
            <w:tcW w:w="7240" w:type="dxa"/>
            <w:vAlign w:val="bottom"/>
            <w:tcBorders>
              <w:bottom w:val="single" w:sz="8" w:color="F6F6F6"/>
            </w:tcBorders>
            <w:shd w:val="clear" w:color="auto" w:fill="F6F6F6"/>
          </w:tcPr>
          <w:p>
            <w:pPr>
              <w:ind w:left="20"/>
              <w:spacing w:after="0"/>
              <w:rPr>
                <w:sz w:val="20"/>
                <w:szCs w:val="20"/>
                <w:color w:val="auto"/>
              </w:rPr>
            </w:pPr>
            <w:r>
              <w:rPr>
                <w:rFonts w:ascii="Arial" w:cs="Arial" w:eastAsia="Arial" w:hAnsi="Arial"/>
                <w:sz w:val="14"/>
                <w:szCs w:val="14"/>
                <w:b w:val="1"/>
                <w:bCs w:val="1"/>
                <w:color w:val="auto"/>
              </w:rPr>
              <w:t>Cash and cash equivalents at the end of the period</w:t>
            </w:r>
          </w:p>
        </w:tc>
        <w:tc>
          <w:tcPr>
            <w:tcW w:w="1240" w:type="dxa"/>
            <w:vAlign w:val="bottom"/>
            <w:tcBorders>
              <w:bottom w:val="single" w:sz="8" w:color="auto"/>
            </w:tcBorders>
            <w:shd w:val="clear" w:color="auto" w:fill="F6F6F6"/>
          </w:tcPr>
          <w:p>
            <w:pPr>
              <w:jc w:val="right"/>
              <w:ind w:right="1068"/>
              <w:spacing w:after="0"/>
              <w:rPr>
                <w:sz w:val="20"/>
                <w:szCs w:val="20"/>
                <w:color w:val="auto"/>
              </w:rPr>
            </w:pPr>
            <w:r>
              <w:rPr>
                <w:rFonts w:ascii="Arial" w:cs="Arial" w:eastAsia="Arial" w:hAnsi="Arial"/>
                <w:sz w:val="14"/>
                <w:szCs w:val="14"/>
                <w:b w:val="1"/>
                <w:bCs w:val="1"/>
                <w:color w:val="auto"/>
              </w:rPr>
              <w:t>$</w:t>
            </w:r>
          </w:p>
        </w:tc>
        <w:tc>
          <w:tcPr>
            <w:tcW w:w="720" w:type="dxa"/>
            <w:vAlign w:val="bottom"/>
            <w:tcBorders>
              <w:bottom w:val="single" w:sz="8" w:color="auto"/>
            </w:tcBorders>
            <w:shd w:val="clear" w:color="auto" w:fill="F6F6F6"/>
          </w:tcPr>
          <w:p>
            <w:pPr>
              <w:jc w:val="right"/>
              <w:spacing w:after="0"/>
              <w:rPr>
                <w:sz w:val="20"/>
                <w:szCs w:val="20"/>
                <w:color w:val="auto"/>
              </w:rPr>
            </w:pPr>
            <w:r>
              <w:rPr>
                <w:rFonts w:ascii="Arial" w:cs="Arial" w:eastAsia="Arial" w:hAnsi="Arial"/>
                <w:sz w:val="14"/>
                <w:szCs w:val="14"/>
                <w:b w:val="1"/>
                <w:bCs w:val="1"/>
                <w:color w:val="auto"/>
              </w:rPr>
              <w:t>561,615</w:t>
            </w:r>
          </w:p>
        </w:tc>
        <w:tc>
          <w:tcPr>
            <w:tcW w:w="80" w:type="dxa"/>
            <w:vAlign w:val="bottom"/>
            <w:tcBorders>
              <w:bottom w:val="single" w:sz="8" w:color="F6F6F6"/>
            </w:tcBorders>
            <w:shd w:val="clear" w:color="auto" w:fill="F6F6F6"/>
          </w:tcPr>
          <w:p>
            <w:pPr>
              <w:spacing w:after="0"/>
              <w:rPr>
                <w:sz w:val="20"/>
                <w:szCs w:val="20"/>
                <w:color w:val="auto"/>
              </w:rPr>
            </w:pPr>
          </w:p>
        </w:tc>
        <w:tc>
          <w:tcPr>
            <w:tcW w:w="1220" w:type="dxa"/>
            <w:vAlign w:val="bottom"/>
            <w:tcBorders>
              <w:bottom w:val="single" w:sz="8" w:color="auto"/>
            </w:tcBorders>
            <w:shd w:val="clear" w:color="auto" w:fill="F6F6F6"/>
          </w:tcPr>
          <w:p>
            <w:pPr>
              <w:jc w:val="right"/>
              <w:ind w:right="1048"/>
              <w:spacing w:after="0"/>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auto"/>
            </w:tcBorders>
            <w:shd w:val="clear" w:color="auto" w:fill="F6F6F6"/>
          </w:tcPr>
          <w:p>
            <w:pPr>
              <w:jc w:val="right"/>
              <w:spacing w:after="0"/>
              <w:rPr>
                <w:sz w:val="20"/>
                <w:szCs w:val="20"/>
                <w:color w:val="auto"/>
              </w:rPr>
            </w:pPr>
            <w:r>
              <w:rPr>
                <w:rFonts w:ascii="Arial" w:cs="Arial" w:eastAsia="Arial" w:hAnsi="Arial"/>
                <w:sz w:val="14"/>
                <w:szCs w:val="14"/>
                <w:b w:val="1"/>
                <w:bCs w:val="1"/>
                <w:color w:val="auto"/>
              </w:rPr>
              <w:t>578,079</w:t>
            </w:r>
          </w:p>
        </w:tc>
        <w:tc>
          <w:tcPr>
            <w:tcW w:w="0" w:type="dxa"/>
            <w:vAlign w:val="bottom"/>
          </w:tcPr>
          <w:p>
            <w:pPr>
              <w:spacing w:after="0"/>
              <w:rPr>
                <w:sz w:val="1"/>
                <w:szCs w:val="1"/>
                <w:color w:val="auto"/>
              </w:rPr>
            </w:pPr>
          </w:p>
        </w:tc>
      </w:tr>
      <w:tr>
        <w:trPr>
          <w:trHeight w:val="20"/>
        </w:trPr>
        <w:tc>
          <w:tcPr>
            <w:tcW w:w="7240" w:type="dxa"/>
            <w:vAlign w:val="bottom"/>
            <w:tcBorders>
              <w:top w:val="single" w:sz="8" w:color="F6F6F6"/>
              <w:bottom w:val="single" w:sz="8" w:color="F6F6F6"/>
            </w:tcBorders>
            <w:vMerge w:val="restart"/>
          </w:tcPr>
          <w:p>
            <w:pPr>
              <w:ind w:left="20"/>
              <w:spacing w:after="0"/>
              <w:rPr>
                <w:sz w:val="20"/>
                <w:szCs w:val="20"/>
                <w:color w:val="auto"/>
              </w:rPr>
            </w:pPr>
            <w:r>
              <w:rPr>
                <w:rFonts w:ascii="Arial" w:cs="Arial" w:eastAsia="Arial" w:hAnsi="Arial"/>
                <w:sz w:val="14"/>
                <w:szCs w:val="14"/>
                <w:b w:val="1"/>
                <w:bCs w:val="1"/>
                <w:color w:val="auto"/>
              </w:rPr>
              <w:t>Supplementary information</w:t>
            </w:r>
          </w:p>
        </w:tc>
        <w:tc>
          <w:tcPr>
            <w:tcW w:w="1240" w:type="dxa"/>
            <w:vAlign w:val="bottom"/>
            <w:tcBorders>
              <w:top w:val="single" w:sz="8" w:color="F6F6F6"/>
              <w:bottom w:val="single" w:sz="8" w:color="auto"/>
            </w:tcBorders>
          </w:tcPr>
          <w:p>
            <w:pPr>
              <w:spacing w:after="0" w:line="20" w:lineRule="exact"/>
              <w:rPr>
                <w:sz w:val="1"/>
                <w:szCs w:val="1"/>
                <w:color w:val="auto"/>
              </w:rPr>
            </w:pPr>
          </w:p>
        </w:tc>
        <w:tc>
          <w:tcPr>
            <w:tcW w:w="720" w:type="dxa"/>
            <w:vAlign w:val="bottom"/>
            <w:tcBorders>
              <w:top w:val="single" w:sz="8" w:color="F6F6F6"/>
              <w:bottom w:val="single" w:sz="8" w:color="auto"/>
            </w:tcBorders>
          </w:tcPr>
          <w:p>
            <w:pPr>
              <w:spacing w:after="0" w:line="20" w:lineRule="exact"/>
              <w:rPr>
                <w:sz w:val="1"/>
                <w:szCs w:val="1"/>
                <w:color w:val="auto"/>
              </w:rPr>
            </w:pPr>
          </w:p>
        </w:tc>
        <w:tc>
          <w:tcPr>
            <w:tcW w:w="80" w:type="dxa"/>
            <w:vAlign w:val="bottom"/>
            <w:tcBorders>
              <w:top w:val="single" w:sz="8" w:color="F6F6F6"/>
            </w:tcBorders>
          </w:tcPr>
          <w:p>
            <w:pPr>
              <w:spacing w:after="0" w:line="20" w:lineRule="exact"/>
              <w:rPr>
                <w:sz w:val="1"/>
                <w:szCs w:val="1"/>
                <w:color w:val="auto"/>
              </w:rPr>
            </w:pPr>
          </w:p>
        </w:tc>
        <w:tc>
          <w:tcPr>
            <w:tcW w:w="1220" w:type="dxa"/>
            <w:vAlign w:val="bottom"/>
            <w:tcBorders>
              <w:top w:val="single" w:sz="8" w:color="F6F6F6"/>
              <w:bottom w:val="single" w:sz="8" w:color="auto"/>
            </w:tcBorders>
          </w:tcPr>
          <w:p>
            <w:pPr>
              <w:spacing w:after="0" w:line="20" w:lineRule="exact"/>
              <w:rPr>
                <w:sz w:val="1"/>
                <w:szCs w:val="1"/>
                <w:color w:val="auto"/>
              </w:rPr>
            </w:pPr>
          </w:p>
        </w:tc>
        <w:tc>
          <w:tcPr>
            <w:tcW w:w="740" w:type="dxa"/>
            <w:vAlign w:val="bottom"/>
            <w:tcBorders>
              <w:top w:val="single" w:sz="8" w:color="F6F6F6"/>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7240" w:type="dxa"/>
            <w:vAlign w:val="bottom"/>
            <w:vMerge w:val="continue"/>
          </w:tcPr>
          <w:p>
            <w:pPr>
              <w:spacing w:after="0"/>
              <w:rPr>
                <w:sz w:val="15"/>
                <w:szCs w:val="15"/>
                <w:color w:val="auto"/>
              </w:rPr>
            </w:pPr>
          </w:p>
        </w:tc>
        <w:tc>
          <w:tcPr>
            <w:tcW w:w="1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7240" w:type="dxa"/>
            <w:vAlign w:val="bottom"/>
            <w:tcBorders>
              <w:bottom w:val="single" w:sz="8" w:color="F6F6F6"/>
            </w:tcBorders>
            <w:shd w:val="clear" w:color="auto" w:fill="F6F6F6"/>
          </w:tcPr>
          <w:p>
            <w:pPr>
              <w:ind w:left="20"/>
              <w:spacing w:after="0"/>
              <w:rPr>
                <w:sz w:val="20"/>
                <w:szCs w:val="20"/>
                <w:color w:val="auto"/>
              </w:rPr>
            </w:pPr>
            <w:r>
              <w:rPr>
                <w:rFonts w:ascii="Arial" w:cs="Arial" w:eastAsia="Arial" w:hAnsi="Arial"/>
                <w:sz w:val="14"/>
                <w:szCs w:val="14"/>
                <w:color w:val="auto"/>
              </w:rPr>
              <w:t>Cash paid during the period for interest</w:t>
            </w:r>
          </w:p>
        </w:tc>
        <w:tc>
          <w:tcPr>
            <w:tcW w:w="1240" w:type="dxa"/>
            <w:vAlign w:val="bottom"/>
            <w:tcBorders>
              <w:bottom w:val="single" w:sz="8" w:color="F6F6F6"/>
            </w:tcBorders>
            <w:shd w:val="clear" w:color="auto" w:fill="F6F6F6"/>
          </w:tcPr>
          <w:p>
            <w:pPr>
              <w:jc w:val="right"/>
              <w:ind w:right="106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F6F6F6"/>
            </w:tcBorders>
            <w:shd w:val="clear" w:color="auto" w:fill="F6F6F6"/>
          </w:tcPr>
          <w:p>
            <w:pPr>
              <w:jc w:val="right"/>
              <w:spacing w:after="0"/>
              <w:rPr>
                <w:sz w:val="20"/>
                <w:szCs w:val="20"/>
                <w:color w:val="auto"/>
              </w:rPr>
            </w:pPr>
            <w:r>
              <w:rPr>
                <w:rFonts w:ascii="Arial" w:cs="Arial" w:eastAsia="Arial" w:hAnsi="Arial"/>
                <w:sz w:val="14"/>
                <w:szCs w:val="14"/>
                <w:color w:val="auto"/>
              </w:rPr>
              <w:t>7,145</w:t>
            </w:r>
          </w:p>
        </w:tc>
        <w:tc>
          <w:tcPr>
            <w:tcW w:w="80" w:type="dxa"/>
            <w:vAlign w:val="bottom"/>
            <w:tcBorders>
              <w:bottom w:val="single" w:sz="8" w:color="F6F6F6"/>
            </w:tcBorders>
            <w:shd w:val="clear" w:color="auto" w:fill="F6F6F6"/>
          </w:tcPr>
          <w:p>
            <w:pPr>
              <w:spacing w:after="0"/>
              <w:rPr>
                <w:sz w:val="18"/>
                <w:szCs w:val="18"/>
                <w:color w:val="auto"/>
              </w:rPr>
            </w:pPr>
          </w:p>
        </w:tc>
        <w:tc>
          <w:tcPr>
            <w:tcW w:w="1220" w:type="dxa"/>
            <w:vAlign w:val="bottom"/>
            <w:tcBorders>
              <w:bottom w:val="single" w:sz="8" w:color="F6F6F6"/>
            </w:tcBorders>
            <w:shd w:val="clear" w:color="auto" w:fill="F6F6F6"/>
          </w:tcPr>
          <w:p>
            <w:pPr>
              <w:jc w:val="right"/>
              <w:ind w:right="104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F6F6F6"/>
            </w:tcBorders>
            <w:shd w:val="clear" w:color="auto" w:fill="F6F6F6"/>
          </w:tcPr>
          <w:p>
            <w:pPr>
              <w:jc w:val="right"/>
              <w:spacing w:after="0"/>
              <w:rPr>
                <w:sz w:val="20"/>
                <w:szCs w:val="20"/>
                <w:color w:val="auto"/>
              </w:rPr>
            </w:pPr>
            <w:r>
              <w:rPr>
                <w:rFonts w:ascii="Arial" w:cs="Arial" w:eastAsia="Arial" w:hAnsi="Arial"/>
                <w:sz w:val="14"/>
                <w:szCs w:val="14"/>
                <w:color w:val="auto"/>
              </w:rPr>
              <w:t>6,623</w:t>
            </w:r>
          </w:p>
        </w:tc>
        <w:tc>
          <w:tcPr>
            <w:tcW w:w="0" w:type="dxa"/>
            <w:vAlign w:val="bottom"/>
          </w:tcPr>
          <w:p>
            <w:pPr>
              <w:spacing w:after="0"/>
              <w:rPr>
                <w:sz w:val="1"/>
                <w:szCs w:val="1"/>
                <w:color w:val="auto"/>
              </w:rPr>
            </w:pPr>
          </w:p>
        </w:tc>
      </w:tr>
      <w:tr>
        <w:trPr>
          <w:trHeight w:val="208"/>
        </w:trPr>
        <w:tc>
          <w:tcPr>
            <w:tcW w:w="7240" w:type="dxa"/>
            <w:vAlign w:val="bottom"/>
          </w:tcPr>
          <w:p>
            <w:pPr>
              <w:ind w:left="20"/>
              <w:spacing w:after="0"/>
              <w:rPr>
                <w:sz w:val="20"/>
                <w:szCs w:val="20"/>
                <w:color w:val="auto"/>
              </w:rPr>
            </w:pPr>
            <w:r>
              <w:rPr>
                <w:rFonts w:ascii="Arial" w:cs="Arial" w:eastAsia="Arial" w:hAnsi="Arial"/>
                <w:sz w:val="14"/>
                <w:szCs w:val="14"/>
                <w:color w:val="auto"/>
              </w:rPr>
              <w:t>Cash paid during the period for income taxes, net of refund</w:t>
            </w:r>
          </w:p>
        </w:tc>
        <w:tc>
          <w:tcPr>
            <w:tcW w:w="1240" w:type="dxa"/>
            <w:vAlign w:val="bottom"/>
          </w:tcPr>
          <w:p>
            <w:pPr>
              <w:jc w:val="right"/>
              <w:ind w:right="1068"/>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21,402</w:t>
            </w:r>
          </w:p>
        </w:tc>
        <w:tc>
          <w:tcPr>
            <w:tcW w:w="80" w:type="dxa"/>
            <w:vAlign w:val="bottom"/>
          </w:tcPr>
          <w:p>
            <w:pPr>
              <w:spacing w:after="0"/>
              <w:rPr>
                <w:sz w:val="18"/>
                <w:szCs w:val="18"/>
                <w:color w:val="auto"/>
              </w:rPr>
            </w:pPr>
          </w:p>
        </w:tc>
        <w:tc>
          <w:tcPr>
            <w:tcW w:w="1220" w:type="dxa"/>
            <w:vAlign w:val="bottom"/>
          </w:tcPr>
          <w:p>
            <w:pPr>
              <w:jc w:val="right"/>
              <w:ind w:right="1048"/>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40,336</w:t>
            </w:r>
          </w:p>
        </w:tc>
        <w:tc>
          <w:tcPr>
            <w:tcW w:w="0" w:type="dxa"/>
            <w:vAlign w:val="bottom"/>
          </w:tcPr>
          <w:p>
            <w:pPr>
              <w:spacing w:after="0"/>
              <w:rPr>
                <w:sz w:val="1"/>
                <w:szCs w:val="1"/>
                <w:color w:val="auto"/>
              </w:rPr>
            </w:pPr>
          </w:p>
        </w:tc>
      </w:tr>
    </w:tbl>
    <w:p>
      <w:pPr>
        <w:sectPr>
          <w:pgSz w:w="11900" w:h="16838" w:orient="portrait"/>
          <w:cols w:equalWidth="0" w:num="1">
            <w:col w:w="11240"/>
          </w:cols>
          <w:pgMar w:left="320" w:top="440"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u w:val="single" w:color="auto"/>
          <w:color w:val="auto"/>
        </w:rPr>
        <w:t>Non-GAAP Financial Measures</w:t>
      </w:r>
    </w:p>
    <w:p>
      <w:pPr>
        <w:spacing w:after="0" w:line="259" w:lineRule="exact"/>
        <w:rPr>
          <w:sz w:val="20"/>
          <w:szCs w:val="20"/>
          <w:color w:val="auto"/>
        </w:rPr>
      </w:pPr>
    </w:p>
    <w:p>
      <w:pPr>
        <w:ind w:right="20"/>
        <w:spacing w:after="0" w:line="283" w:lineRule="auto"/>
        <w:rPr>
          <w:sz w:val="20"/>
          <w:szCs w:val="20"/>
          <w:color w:val="auto"/>
        </w:rPr>
      </w:pPr>
      <w:r>
        <w:rPr>
          <w:rFonts w:ascii="Arial" w:cs="Arial" w:eastAsia="Arial" w:hAnsi="Arial"/>
          <w:sz w:val="16"/>
          <w:szCs w:val="16"/>
          <w:i w:val="1"/>
          <w:iCs w:val="1"/>
          <w:color w:val="auto"/>
        </w:rPr>
        <w:t>To supplement the consolidated financial statements presented in accordance with GAAP, this press release includes the following non-GAAP financial measures:</w:t>
      </w:r>
    </w:p>
    <w:p>
      <w:pPr>
        <w:spacing w:after="0" w:line="214" w:lineRule="exact"/>
        <w:rPr>
          <w:sz w:val="20"/>
          <w:szCs w:val="20"/>
          <w:color w:val="auto"/>
        </w:rPr>
      </w:pPr>
    </w:p>
    <w:p>
      <w:pPr>
        <w:ind w:left="660" w:hanging="328"/>
        <w:spacing w:after="0"/>
        <w:tabs>
          <w:tab w:leader="none" w:pos="660" w:val="left"/>
        </w:tabs>
        <w:numPr>
          <w:ilvl w:val="0"/>
          <w:numId w:val="7"/>
        </w:numPr>
        <w:rPr>
          <w:rFonts w:ascii="Arial" w:cs="Arial" w:eastAsia="Arial" w:hAnsi="Arial"/>
          <w:sz w:val="22"/>
          <w:szCs w:val="22"/>
          <w:color w:val="auto"/>
        </w:rPr>
      </w:pPr>
      <w:r>
        <w:rPr>
          <w:rFonts w:ascii="Arial" w:cs="Arial" w:eastAsia="Arial" w:hAnsi="Arial"/>
          <w:sz w:val="16"/>
          <w:szCs w:val="16"/>
          <w:i w:val="1"/>
          <w:iCs w:val="1"/>
          <w:color w:val="auto"/>
        </w:rPr>
        <w:t>Adjusted income from operations;</w:t>
      </w:r>
    </w:p>
    <w:p>
      <w:pPr>
        <w:spacing w:after="0" w:line="16" w:lineRule="exact"/>
        <w:rPr>
          <w:rFonts w:ascii="Arial" w:cs="Arial" w:eastAsia="Arial" w:hAnsi="Arial"/>
          <w:sz w:val="22"/>
          <w:szCs w:val="22"/>
          <w:color w:val="auto"/>
        </w:rPr>
      </w:pPr>
    </w:p>
    <w:p>
      <w:pPr>
        <w:ind w:left="660" w:hanging="328"/>
        <w:spacing w:after="0" w:line="228" w:lineRule="auto"/>
        <w:tabs>
          <w:tab w:leader="none" w:pos="660" w:val="left"/>
        </w:tabs>
        <w:numPr>
          <w:ilvl w:val="0"/>
          <w:numId w:val="7"/>
        </w:numPr>
        <w:rPr>
          <w:rFonts w:ascii="Arial" w:cs="Arial" w:eastAsia="Arial" w:hAnsi="Arial"/>
          <w:sz w:val="22"/>
          <w:szCs w:val="22"/>
          <w:color w:val="auto"/>
        </w:rPr>
      </w:pPr>
      <w:r>
        <w:rPr>
          <w:rFonts w:ascii="Arial" w:cs="Arial" w:eastAsia="Arial" w:hAnsi="Arial"/>
          <w:sz w:val="16"/>
          <w:szCs w:val="16"/>
          <w:i w:val="1"/>
          <w:iCs w:val="1"/>
          <w:color w:val="auto"/>
        </w:rPr>
        <w:t>Adjusted income from operations margin;</w:t>
      </w:r>
    </w:p>
    <w:p>
      <w:pPr>
        <w:spacing w:after="0" w:line="16" w:lineRule="exact"/>
        <w:rPr>
          <w:rFonts w:ascii="Arial" w:cs="Arial" w:eastAsia="Arial" w:hAnsi="Arial"/>
          <w:sz w:val="22"/>
          <w:szCs w:val="22"/>
          <w:color w:val="auto"/>
        </w:rPr>
      </w:pPr>
    </w:p>
    <w:p>
      <w:pPr>
        <w:ind w:left="660" w:hanging="328"/>
        <w:spacing w:after="0" w:line="228" w:lineRule="auto"/>
        <w:tabs>
          <w:tab w:leader="none" w:pos="660" w:val="left"/>
        </w:tabs>
        <w:numPr>
          <w:ilvl w:val="0"/>
          <w:numId w:val="7"/>
        </w:numPr>
        <w:rPr>
          <w:rFonts w:ascii="Arial" w:cs="Arial" w:eastAsia="Arial" w:hAnsi="Arial"/>
          <w:sz w:val="22"/>
          <w:szCs w:val="22"/>
          <w:color w:val="auto"/>
        </w:rPr>
      </w:pPr>
      <w:r>
        <w:rPr>
          <w:rFonts w:ascii="Arial" w:cs="Arial" w:eastAsia="Arial" w:hAnsi="Arial"/>
          <w:sz w:val="16"/>
          <w:szCs w:val="16"/>
          <w:i w:val="1"/>
          <w:iCs w:val="1"/>
          <w:color w:val="auto"/>
        </w:rPr>
        <w:t>Adjusted diluted earnings per share; and</w:t>
      </w:r>
    </w:p>
    <w:p>
      <w:pPr>
        <w:spacing w:after="0" w:line="16" w:lineRule="exact"/>
        <w:rPr>
          <w:rFonts w:ascii="Arial" w:cs="Arial" w:eastAsia="Arial" w:hAnsi="Arial"/>
          <w:sz w:val="22"/>
          <w:szCs w:val="22"/>
          <w:color w:val="auto"/>
        </w:rPr>
      </w:pPr>
    </w:p>
    <w:p>
      <w:pPr>
        <w:ind w:left="660" w:hanging="328"/>
        <w:spacing w:after="0" w:line="228" w:lineRule="auto"/>
        <w:tabs>
          <w:tab w:leader="none" w:pos="660" w:val="left"/>
        </w:tabs>
        <w:numPr>
          <w:ilvl w:val="0"/>
          <w:numId w:val="7"/>
        </w:numPr>
        <w:rPr>
          <w:rFonts w:ascii="Arial" w:cs="Arial" w:eastAsia="Arial" w:hAnsi="Arial"/>
          <w:sz w:val="22"/>
          <w:szCs w:val="22"/>
          <w:color w:val="auto"/>
        </w:rPr>
      </w:pPr>
      <w:r>
        <w:rPr>
          <w:rFonts w:ascii="Arial" w:cs="Arial" w:eastAsia="Arial" w:hAnsi="Arial"/>
          <w:sz w:val="16"/>
          <w:szCs w:val="16"/>
          <w:i w:val="1"/>
          <w:iCs w:val="1"/>
          <w:color w:val="auto"/>
        </w:rPr>
        <w:t>Revenue growth on a constant currency basis.</w:t>
      </w:r>
    </w:p>
    <w:p>
      <w:pPr>
        <w:spacing w:after="0" w:line="233" w:lineRule="exact"/>
        <w:rPr>
          <w:sz w:val="20"/>
          <w:szCs w:val="20"/>
          <w:color w:val="auto"/>
        </w:rPr>
      </w:pPr>
    </w:p>
    <w:p>
      <w:pPr>
        <w:jc w:val="both"/>
        <w:spacing w:after="0" w:line="270" w:lineRule="auto"/>
        <w:rPr>
          <w:sz w:val="20"/>
          <w:szCs w:val="20"/>
          <w:color w:val="auto"/>
        </w:rPr>
      </w:pPr>
      <w:r>
        <w:rPr>
          <w:rFonts w:ascii="Arial" w:cs="Arial" w:eastAsia="Arial" w:hAnsi="Arial"/>
          <w:sz w:val="16"/>
          <w:szCs w:val="16"/>
          <w:i w:val="1"/>
          <w:iCs w:val="1"/>
          <w:color w:val="auto"/>
        </w:rPr>
        <w:t>These non-GAAP financial measures are not based on any comprehensive set of accounting rules or principles and should not be considered a substitute for, or superior to, financial measures calculated in accordance with GAAP and may be different from non-GAAP financial measures used by other companies. Accordingly, these non-GAAP financial measures, the financial statements prepared in accordance with GAAP and the reconciliations of Genpact's GAAP financial statements to such non-GAAP financial measures should be carefully evaluated.</w:t>
      </w:r>
    </w:p>
    <w:p>
      <w:pPr>
        <w:spacing w:after="0" w:line="198" w:lineRule="exact"/>
        <w:rPr>
          <w:sz w:val="20"/>
          <w:szCs w:val="20"/>
          <w:color w:val="auto"/>
        </w:rPr>
      </w:pPr>
    </w:p>
    <w:p>
      <w:pPr>
        <w:jc w:val="both"/>
        <w:spacing w:after="0" w:line="257" w:lineRule="auto"/>
        <w:rPr>
          <w:sz w:val="20"/>
          <w:szCs w:val="20"/>
          <w:color w:val="auto"/>
        </w:rPr>
      </w:pPr>
      <w:r>
        <w:rPr>
          <w:rFonts w:ascii="Arial" w:cs="Arial" w:eastAsia="Arial" w:hAnsi="Arial"/>
          <w:sz w:val="16"/>
          <w:szCs w:val="16"/>
          <w:i w:val="1"/>
          <w:iCs w:val="1"/>
          <w:color w:val="auto"/>
        </w:rPr>
        <w:t>Given Genpact's acquisitions of varying scale and size, and the difficulty in predicting expenses relating to acquisitions and the amortization of acquired intangibles thereof, since July 2012 Genpact's management has used financial statements that exclude all acquisition-related expenses and amortization of acquired intangibles for its internal management reporting, budgeting and decision-making purposes, including comparing Genpact's operating results to those of its competitors. For the same reasons, since April 2016, Genpact's management has excluded the impairment of acquired intangible assets from the financial statements it uses for internal management purposes. Acquisition-related expenses are excluded in the period in which an acquisition is consummated. Genpact's management also uses financial statements that exclude stock-based compensation expense. Because of varying available valuation methodologies, subjective assumptions and the variety of award types that companies can use when adopting ASC 718 "Compensation-Stock Compensation," Genpact's management believes that providing non-GAAP financial measures that exclude such expenses allows investors to make additional comparisons between Genpact's operating results and those of other companies.</w:t>
      </w:r>
    </w:p>
    <w:p>
      <w:pPr>
        <w:spacing w:after="0" w:line="225" w:lineRule="exact"/>
        <w:rPr>
          <w:sz w:val="20"/>
          <w:szCs w:val="20"/>
          <w:color w:val="auto"/>
        </w:rPr>
      </w:pPr>
    </w:p>
    <w:p>
      <w:pPr>
        <w:jc w:val="both"/>
        <w:spacing w:after="0" w:line="258" w:lineRule="auto"/>
        <w:rPr>
          <w:sz w:val="20"/>
          <w:szCs w:val="20"/>
          <w:color w:val="auto"/>
        </w:rPr>
      </w:pPr>
      <w:r>
        <w:rPr>
          <w:rFonts w:ascii="Arial" w:cs="Arial" w:eastAsia="Arial" w:hAnsi="Arial"/>
          <w:sz w:val="16"/>
          <w:szCs w:val="16"/>
          <w:i w:val="1"/>
          <w:iCs w:val="1"/>
          <w:color w:val="auto"/>
        </w:rPr>
        <w:t>Additionally, in its calculations of non-GAAP financial measures, Genpact's management has adjusted foreign exchange gains and losses, interest income and expense and income tax expenses from GAAP net income, and other income and expenses from GAAP income from operations, because management believes that the Company's results after taking into account these adjustments more accurately reflect the Company's ongoing operations. In its calculations of adjusted diluted earnings per share, Genpact's management adds back adjusted stock-based compensation expense, amortization of acquired intangible assets, acquisition-related expenses and the related tax impact of such adjustments from GAAP diluted earnings per share. For the purpose of calculating adjusted diluted earnings per share, the combined current and deferred tax effect is determined by multiplying each pre-tax adjustment by the applicable statutory income tax rate.</w:t>
      </w:r>
    </w:p>
    <w:p>
      <w:pPr>
        <w:spacing w:after="0" w:line="209" w:lineRule="exact"/>
        <w:rPr>
          <w:sz w:val="20"/>
          <w:szCs w:val="20"/>
          <w:color w:val="auto"/>
        </w:rPr>
      </w:pPr>
    </w:p>
    <w:p>
      <w:pPr>
        <w:jc w:val="both"/>
        <w:spacing w:after="0" w:line="264" w:lineRule="auto"/>
        <w:rPr>
          <w:sz w:val="20"/>
          <w:szCs w:val="20"/>
          <w:color w:val="auto"/>
        </w:rPr>
      </w:pPr>
      <w:r>
        <w:rPr>
          <w:rFonts w:ascii="Arial" w:cs="Arial" w:eastAsia="Arial" w:hAnsi="Arial"/>
          <w:sz w:val="16"/>
          <w:szCs w:val="16"/>
          <w:i w:val="1"/>
          <w:iCs w:val="1"/>
          <w:color w:val="auto"/>
        </w:rPr>
        <w:t>Genpact's management provides information about revenues on a constant currency basis so that the revenues may be viewed without the impact of foreign currency exchange rate fluctuations compared to prior fiscal periods, thereby facilitating period-to-period comparisons of the Company's true business performance. Revenue growth on a constant currency basis is calculated by restating current-period activity using the prior fiscal period's foreign currency exchange rates adjusted for hedging gains/losses in such period.</w:t>
      </w:r>
    </w:p>
    <w:p>
      <w:pPr>
        <w:spacing w:after="0" w:line="216" w:lineRule="exact"/>
        <w:rPr>
          <w:sz w:val="20"/>
          <w:szCs w:val="20"/>
          <w:color w:val="auto"/>
        </w:rPr>
      </w:pPr>
    </w:p>
    <w:p>
      <w:pPr>
        <w:jc w:val="both"/>
        <w:spacing w:after="0" w:line="274" w:lineRule="auto"/>
        <w:rPr>
          <w:sz w:val="20"/>
          <w:szCs w:val="20"/>
          <w:color w:val="auto"/>
        </w:rPr>
      </w:pPr>
      <w:r>
        <w:rPr>
          <w:rFonts w:ascii="Arial" w:cs="Arial" w:eastAsia="Arial" w:hAnsi="Arial"/>
          <w:sz w:val="16"/>
          <w:szCs w:val="16"/>
          <w:i w:val="1"/>
          <w:iCs w:val="1"/>
          <w:color w:val="auto"/>
        </w:rPr>
        <w:t>Accordingly, Genpact believes that the presentation of adjusted income from operations, adjusted income from operations margin, adjusted diluted earnings per share and revenue growth on a constant currency basis, when read in conjunction with the Company's reported results, can provide useful supplemental information to investors and management regarding financial and business trends relating to its financial condition and results of operations.</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6"/>
          <w:szCs w:val="16"/>
          <w:i w:val="1"/>
          <w:iCs w:val="1"/>
          <w:color w:val="auto"/>
        </w:rPr>
        <w:t>A limitation of using adjusted income from operations and adjusted income from operations margin versus income from operations, income from operations margin, net income and net income margin calculated in accordance with GAAP is that these non-GAAP financial measures exclude certain recurring costs and certain other charges, namely stock-based compensation expense and amortization and impairment of acquired intangible assets. Management compensates for this limitation by providing specific information on the GAAP amounts excluded from adjusted income from operations and adjusted income from operations margin.</w:t>
      </w:r>
    </w:p>
    <w:p>
      <w:pPr>
        <w:sectPr>
          <w:pgSz w:w="11900" w:h="16838" w:orient="portrait"/>
          <w:cols w:equalWidth="0" w:num="1">
            <w:col w:w="11240"/>
          </w:cols>
          <w:pgMar w:left="320" w:top="431" w:right="339" w:bottom="1440" w:gutter="0" w:footer="0" w:header="0"/>
        </w:sectPr>
      </w:pPr>
    </w:p>
    <w:bookmarkStart w:id="10" w:name="page11"/>
    <w:bookmarkEnd w:id="10"/>
    <w:p>
      <w:pPr>
        <w:ind w:right="20"/>
        <w:spacing w:after="0" w:line="287" w:lineRule="auto"/>
        <w:rPr>
          <w:sz w:val="20"/>
          <w:szCs w:val="20"/>
          <w:color w:val="auto"/>
        </w:rPr>
      </w:pPr>
      <w:r>
        <w:rPr>
          <w:rFonts w:ascii="Arial" w:cs="Arial" w:eastAsia="Arial" w:hAnsi="Arial"/>
          <w:sz w:val="18"/>
          <w:szCs w:val="18"/>
          <w:color w:val="auto"/>
        </w:rPr>
        <w:t>The following tables show the reconciliation of these non-GAAP financial measures to the most directly comparable GAAP measures for the three months ended March 31, 2025 and 2026:</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Net Income/Margin to Adjusted Income from Operations/Margin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32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3380" w:type="dxa"/>
            <w:vAlign w:val="bottom"/>
            <w:tcBorders>
              <w:bottom w:val="single" w:sz="8" w:color="auto"/>
            </w:tcBorders>
            <w:gridSpan w:val="6"/>
          </w:tcPr>
          <w:p>
            <w:pPr>
              <w:jc w:val="right"/>
              <w:ind w:right="752"/>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223"/>
        </w:trPr>
        <w:tc>
          <w:tcPr>
            <w:tcW w:w="4320" w:type="dxa"/>
            <w:vAlign w:val="bottom"/>
            <w:tcBorders>
              <w:bottom w:val="single" w:sz="8" w:color="F6F6F6"/>
            </w:tcBorders>
          </w:tcPr>
          <w:p>
            <w:pPr>
              <w:spacing w:after="0"/>
              <w:rPr>
                <w:sz w:val="19"/>
                <w:szCs w:val="19"/>
                <w:color w:val="auto"/>
              </w:rPr>
            </w:pPr>
          </w:p>
        </w:tc>
        <w:tc>
          <w:tcPr>
            <w:tcW w:w="3080" w:type="dxa"/>
            <w:vAlign w:val="bottom"/>
            <w:tcBorders>
              <w:bottom w:val="single" w:sz="8" w:color="F6F6F6"/>
            </w:tcBorders>
          </w:tcPr>
          <w:p>
            <w:pPr>
              <w:spacing w:after="0"/>
              <w:rPr>
                <w:sz w:val="19"/>
                <w:szCs w:val="19"/>
                <w:color w:val="auto"/>
              </w:rPr>
            </w:pPr>
          </w:p>
        </w:tc>
        <w:tc>
          <w:tcPr>
            <w:tcW w:w="40" w:type="dxa"/>
            <w:vAlign w:val="bottom"/>
            <w:tcBorders>
              <w:bottom w:val="single" w:sz="8" w:color="F6F6F6"/>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674"/>
              <w:spacing w:after="0"/>
              <w:rPr>
                <w:sz w:val="20"/>
                <w:szCs w:val="20"/>
                <w:color w:val="auto"/>
              </w:rPr>
            </w:pPr>
            <w:r>
              <w:rPr>
                <w:rFonts w:ascii="Arial" w:cs="Arial" w:eastAsia="Arial" w:hAnsi="Arial"/>
                <w:sz w:val="14"/>
                <w:szCs w:val="14"/>
                <w:b w:val="1"/>
                <w:bCs w:val="1"/>
                <w:color w:val="auto"/>
              </w:rPr>
              <w:t>2025</w:t>
            </w: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F6F6F6"/>
            </w:tcBorders>
          </w:tcPr>
          <w:p>
            <w:pPr>
              <w:spacing w:after="0"/>
              <w:rPr>
                <w:sz w:val="19"/>
                <w:szCs w:val="19"/>
                <w:color w:val="auto"/>
              </w:rPr>
            </w:pPr>
          </w:p>
        </w:tc>
        <w:tc>
          <w:tcPr>
            <w:tcW w:w="20" w:type="dxa"/>
            <w:vAlign w:val="bottom"/>
            <w:tcBorders>
              <w:bottom w:val="single" w:sz="8" w:color="F6F6F6"/>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692"/>
              <w:spacing w:after="0"/>
              <w:rPr>
                <w:sz w:val="20"/>
                <w:szCs w:val="20"/>
                <w:color w:val="auto"/>
              </w:rPr>
            </w:pPr>
            <w:r>
              <w:rPr>
                <w:rFonts w:ascii="Arial" w:cs="Arial" w:eastAsia="Arial" w:hAnsi="Arial"/>
                <w:sz w:val="14"/>
                <w:szCs w:val="14"/>
                <w:b w:val="1"/>
                <w:bCs w:val="1"/>
                <w:color w:val="auto"/>
              </w:rPr>
              <w:t>2026</w:t>
            </w:r>
          </w:p>
        </w:tc>
        <w:tc>
          <w:tcPr>
            <w:tcW w:w="0" w:type="dxa"/>
            <w:vAlign w:val="bottom"/>
          </w:tcPr>
          <w:p>
            <w:pPr>
              <w:spacing w:after="0"/>
              <w:rPr>
                <w:sz w:val="1"/>
                <w:szCs w:val="1"/>
                <w:color w:val="auto"/>
              </w:rPr>
            </w:pPr>
          </w:p>
        </w:tc>
      </w:tr>
      <w:tr>
        <w:trPr>
          <w:trHeight w:val="270"/>
        </w:trPr>
        <w:tc>
          <w:tcPr>
            <w:tcW w:w="4320" w:type="dxa"/>
            <w:vAlign w:val="bottom"/>
            <w:shd w:val="clear" w:color="auto" w:fill="F6F6F6"/>
          </w:tcPr>
          <w:p>
            <w:pPr>
              <w:ind w:left="80"/>
              <w:spacing w:after="0"/>
              <w:rPr>
                <w:sz w:val="20"/>
                <w:szCs w:val="20"/>
                <w:color w:val="auto"/>
              </w:rPr>
            </w:pPr>
            <w:r>
              <w:rPr>
                <w:rFonts w:ascii="Arial" w:cs="Arial" w:eastAsia="Arial" w:hAnsi="Arial"/>
                <w:sz w:val="18"/>
                <w:szCs w:val="18"/>
                <w:b w:val="1"/>
                <w:bCs w:val="1"/>
                <w:color w:val="auto"/>
              </w:rPr>
              <w:t>Net income</w:t>
            </w:r>
          </w:p>
        </w:tc>
        <w:tc>
          <w:tcPr>
            <w:tcW w:w="3540" w:type="dxa"/>
            <w:vAlign w:val="bottom"/>
            <w:gridSpan w:val="3"/>
            <w:shd w:val="clear" w:color="auto" w:fill="F6F6F6"/>
          </w:tcPr>
          <w:p>
            <w:pPr>
              <w:jc w:val="right"/>
              <w:ind w:right="300"/>
              <w:spacing w:after="0"/>
              <w:rPr>
                <w:sz w:val="20"/>
                <w:szCs w:val="20"/>
                <w:color w:val="auto"/>
              </w:rPr>
            </w:pPr>
            <w:r>
              <w:rPr>
                <w:rFonts w:ascii="Arial" w:cs="Arial" w:eastAsia="Arial" w:hAnsi="Arial"/>
                <w:sz w:val="18"/>
                <w:szCs w:val="18"/>
                <w:b w:val="1"/>
                <w:bCs w:val="1"/>
                <w:color w:val="auto"/>
              </w:rPr>
              <w:t>$</w:t>
            </w:r>
          </w:p>
        </w:tc>
        <w:tc>
          <w:tcPr>
            <w:tcW w:w="1420" w:type="dxa"/>
            <w:vAlign w:val="bottom"/>
            <w:shd w:val="clear" w:color="auto" w:fill="F6F6F6"/>
          </w:tcPr>
          <w:p>
            <w:pPr>
              <w:jc w:val="right"/>
              <w:spacing w:after="0"/>
              <w:rPr>
                <w:sz w:val="20"/>
                <w:szCs w:val="20"/>
                <w:color w:val="auto"/>
              </w:rPr>
            </w:pPr>
            <w:r>
              <w:rPr>
                <w:rFonts w:ascii="Arial" w:cs="Arial" w:eastAsia="Arial" w:hAnsi="Arial"/>
                <w:sz w:val="18"/>
                <w:szCs w:val="18"/>
                <w:b w:val="1"/>
                <w:bCs w:val="1"/>
                <w:color w:val="auto"/>
              </w:rPr>
              <w:t>130,853</w:t>
            </w:r>
          </w:p>
        </w:tc>
        <w:tc>
          <w:tcPr>
            <w:tcW w:w="20" w:type="dxa"/>
            <w:vAlign w:val="bottom"/>
            <w:shd w:val="clear" w:color="auto" w:fill="F6F6F6"/>
          </w:tcPr>
          <w:p>
            <w:pPr>
              <w:spacing w:after="0"/>
              <w:rPr>
                <w:sz w:val="23"/>
                <w:szCs w:val="23"/>
                <w:color w:val="auto"/>
              </w:rPr>
            </w:pPr>
          </w:p>
        </w:tc>
        <w:tc>
          <w:tcPr>
            <w:tcW w:w="60" w:type="dxa"/>
            <w:vAlign w:val="bottom"/>
            <w:shd w:val="clear" w:color="auto" w:fill="F6F6F6"/>
          </w:tcPr>
          <w:p>
            <w:pPr>
              <w:spacing w:after="0"/>
              <w:rPr>
                <w:sz w:val="23"/>
                <w:szCs w:val="23"/>
                <w:color w:val="auto"/>
              </w:rPr>
            </w:pPr>
          </w:p>
        </w:tc>
        <w:tc>
          <w:tcPr>
            <w:tcW w:w="20" w:type="dxa"/>
            <w:vAlign w:val="bottom"/>
            <w:shd w:val="clear" w:color="auto" w:fill="F6F6F6"/>
          </w:tcPr>
          <w:p>
            <w:pPr>
              <w:spacing w:after="0"/>
              <w:rPr>
                <w:sz w:val="23"/>
                <w:szCs w:val="23"/>
                <w:color w:val="auto"/>
              </w:rPr>
            </w:pPr>
          </w:p>
        </w:tc>
        <w:tc>
          <w:tcPr>
            <w:tcW w:w="500" w:type="dxa"/>
            <w:vAlign w:val="bottom"/>
            <w:shd w:val="clear" w:color="auto" w:fill="F6F6F6"/>
          </w:tcPr>
          <w:p>
            <w:pPr>
              <w:jc w:val="right"/>
              <w:ind w:right="290"/>
              <w:spacing w:after="0"/>
              <w:rPr>
                <w:sz w:val="20"/>
                <w:szCs w:val="20"/>
                <w:color w:val="auto"/>
              </w:rPr>
            </w:pPr>
            <w:r>
              <w:rPr>
                <w:rFonts w:ascii="Arial" w:cs="Arial" w:eastAsia="Arial" w:hAnsi="Arial"/>
                <w:sz w:val="18"/>
                <w:szCs w:val="18"/>
                <w:b w:val="1"/>
                <w:bCs w:val="1"/>
                <w:color w:val="auto"/>
                <w:w w:val="99"/>
              </w:rPr>
              <w:t>$</w:t>
            </w:r>
          </w:p>
        </w:tc>
        <w:tc>
          <w:tcPr>
            <w:tcW w:w="1360" w:type="dxa"/>
            <w:vAlign w:val="bottom"/>
            <w:shd w:val="clear" w:color="auto" w:fill="F6F6F6"/>
          </w:tcPr>
          <w:p>
            <w:pPr>
              <w:jc w:val="right"/>
              <w:spacing w:after="0"/>
              <w:rPr>
                <w:sz w:val="20"/>
                <w:szCs w:val="20"/>
                <w:color w:val="auto"/>
              </w:rPr>
            </w:pPr>
            <w:r>
              <w:rPr>
                <w:rFonts w:ascii="Arial" w:cs="Arial" w:eastAsia="Arial" w:hAnsi="Arial"/>
                <w:sz w:val="18"/>
                <w:szCs w:val="18"/>
                <w:b w:val="1"/>
                <w:bCs w:val="1"/>
                <w:color w:val="auto"/>
              </w:rPr>
              <w:t>147,992</w:t>
            </w:r>
          </w:p>
        </w:tc>
        <w:tc>
          <w:tcPr>
            <w:tcW w:w="0" w:type="dxa"/>
            <w:vAlign w:val="bottom"/>
          </w:tcPr>
          <w:p>
            <w:pPr>
              <w:spacing w:after="0"/>
              <w:rPr>
                <w:sz w:val="1"/>
                <w:szCs w:val="1"/>
                <w:color w:val="auto"/>
              </w:rPr>
            </w:pPr>
          </w:p>
        </w:tc>
      </w:tr>
      <w:tr>
        <w:trPr>
          <w:trHeight w:val="247"/>
        </w:trPr>
        <w:tc>
          <w:tcPr>
            <w:tcW w:w="4320" w:type="dxa"/>
            <w:vAlign w:val="bottom"/>
          </w:tcPr>
          <w:p>
            <w:pPr>
              <w:ind w:left="220"/>
              <w:spacing w:after="0"/>
              <w:rPr>
                <w:sz w:val="20"/>
                <w:szCs w:val="20"/>
                <w:color w:val="auto"/>
              </w:rPr>
            </w:pPr>
            <w:r>
              <w:rPr>
                <w:rFonts w:ascii="Arial" w:cs="Arial" w:eastAsia="Arial" w:hAnsi="Arial"/>
                <w:sz w:val="18"/>
                <w:szCs w:val="18"/>
                <w:color w:val="auto"/>
              </w:rPr>
              <w:t>Foreign exchange (gains)/losses, net</w:t>
            </w:r>
          </w:p>
        </w:tc>
        <w:tc>
          <w:tcPr>
            <w:tcW w:w="30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(1,289)</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(7,302)</w:t>
            </w:r>
          </w:p>
        </w:tc>
        <w:tc>
          <w:tcPr>
            <w:tcW w:w="0" w:type="dxa"/>
            <w:vAlign w:val="bottom"/>
          </w:tcPr>
          <w:p>
            <w:pPr>
              <w:spacing w:after="0"/>
              <w:rPr>
                <w:sz w:val="1"/>
                <w:szCs w:val="1"/>
                <w:color w:val="auto"/>
              </w:rPr>
            </w:pPr>
          </w:p>
        </w:tc>
      </w:tr>
      <w:tr>
        <w:trPr>
          <w:trHeight w:val="23"/>
        </w:trPr>
        <w:tc>
          <w:tcPr>
            <w:tcW w:w="4320" w:type="dxa"/>
            <w:vAlign w:val="bottom"/>
          </w:tcPr>
          <w:p>
            <w:pPr>
              <w:spacing w:after="0"/>
              <w:rPr>
                <w:sz w:val="2"/>
                <w:szCs w:val="2"/>
                <w:color w:val="auto"/>
              </w:rPr>
            </w:pPr>
          </w:p>
        </w:tc>
        <w:tc>
          <w:tcPr>
            <w:tcW w:w="308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20" w:type="dxa"/>
            <w:vAlign w:val="bottom"/>
            <w:tcBorders>
              <w:bottom w:val="single" w:sz="8" w:color="F6F6F6"/>
            </w:tcBorders>
            <w:shd w:val="clear" w:color="auto" w:fill="F6F6F6"/>
          </w:tcPr>
          <w:p>
            <w:pPr>
              <w:ind w:left="220"/>
              <w:spacing w:after="0"/>
              <w:rPr>
                <w:sz w:val="20"/>
                <w:szCs w:val="20"/>
                <w:color w:val="auto"/>
              </w:rPr>
            </w:pPr>
            <w:r>
              <w:rPr>
                <w:rFonts w:ascii="Arial" w:cs="Arial" w:eastAsia="Arial" w:hAnsi="Arial"/>
                <w:sz w:val="18"/>
                <w:szCs w:val="18"/>
                <w:color w:val="auto"/>
              </w:rPr>
              <w:t>Interest (income) expense, net</w:t>
            </w:r>
          </w:p>
        </w:tc>
        <w:tc>
          <w:tcPr>
            <w:tcW w:w="3080" w:type="dxa"/>
            <w:vAlign w:val="bottom"/>
            <w:tcBorders>
              <w:bottom w:val="single" w:sz="8" w:color="F6F6F6"/>
            </w:tcBorders>
            <w:shd w:val="clear" w:color="auto" w:fill="F6F6F6"/>
          </w:tcPr>
          <w:p>
            <w:pPr>
              <w:spacing w:after="0"/>
              <w:rPr>
                <w:sz w:val="21"/>
                <w:szCs w:val="21"/>
                <w:color w:val="auto"/>
              </w:rPr>
            </w:pPr>
          </w:p>
        </w:tc>
        <w:tc>
          <w:tcPr>
            <w:tcW w:w="40" w:type="dxa"/>
            <w:vAlign w:val="bottom"/>
            <w:tcBorders>
              <w:bottom w:val="single" w:sz="8" w:color="F6F6F6"/>
            </w:tcBorders>
            <w:shd w:val="clear" w:color="auto" w:fill="F6F6F6"/>
          </w:tcPr>
          <w:p>
            <w:pPr>
              <w:spacing w:after="0"/>
              <w:rPr>
                <w:sz w:val="21"/>
                <w:szCs w:val="21"/>
                <w:color w:val="auto"/>
              </w:rPr>
            </w:pPr>
          </w:p>
        </w:tc>
        <w:tc>
          <w:tcPr>
            <w:tcW w:w="420" w:type="dxa"/>
            <w:vAlign w:val="bottom"/>
            <w:tcBorders>
              <w:bottom w:val="single" w:sz="8" w:color="F6F6F6"/>
            </w:tcBorders>
            <w:shd w:val="clear" w:color="auto" w:fill="F6F6F6"/>
          </w:tcPr>
          <w:p>
            <w:pPr>
              <w:spacing w:after="0"/>
              <w:rPr>
                <w:sz w:val="21"/>
                <w:szCs w:val="21"/>
                <w:color w:val="auto"/>
              </w:rPr>
            </w:pPr>
          </w:p>
        </w:tc>
        <w:tc>
          <w:tcPr>
            <w:tcW w:w="1420" w:type="dxa"/>
            <w:vAlign w:val="bottom"/>
            <w:tcBorders>
              <w:bottom w:val="single" w:sz="8" w:color="F6F6F6"/>
            </w:tcBorders>
            <w:shd w:val="clear" w:color="auto" w:fill="F6F6F6"/>
          </w:tcPr>
          <w:p>
            <w:pPr>
              <w:jc w:val="right"/>
              <w:spacing w:after="0"/>
              <w:rPr>
                <w:sz w:val="20"/>
                <w:szCs w:val="20"/>
                <w:color w:val="auto"/>
              </w:rPr>
            </w:pPr>
            <w:r>
              <w:rPr>
                <w:rFonts w:ascii="Arial" w:cs="Arial" w:eastAsia="Arial" w:hAnsi="Arial"/>
                <w:sz w:val="18"/>
                <w:szCs w:val="18"/>
                <w:color w:val="auto"/>
              </w:rPr>
              <w:t>11,446</w:t>
            </w:r>
          </w:p>
        </w:tc>
        <w:tc>
          <w:tcPr>
            <w:tcW w:w="20" w:type="dxa"/>
            <w:vAlign w:val="bottom"/>
            <w:tcBorders>
              <w:bottom w:val="single" w:sz="8" w:color="F6F6F6"/>
            </w:tcBorders>
            <w:shd w:val="clear" w:color="auto" w:fill="F6F6F6"/>
          </w:tcPr>
          <w:p>
            <w:pPr>
              <w:spacing w:after="0"/>
              <w:rPr>
                <w:sz w:val="21"/>
                <w:szCs w:val="21"/>
                <w:color w:val="auto"/>
              </w:rPr>
            </w:pPr>
          </w:p>
        </w:tc>
        <w:tc>
          <w:tcPr>
            <w:tcW w:w="60" w:type="dxa"/>
            <w:vAlign w:val="bottom"/>
            <w:tcBorders>
              <w:bottom w:val="single" w:sz="8" w:color="F6F6F6"/>
            </w:tcBorders>
            <w:shd w:val="clear" w:color="auto" w:fill="F6F6F6"/>
          </w:tcPr>
          <w:p>
            <w:pPr>
              <w:spacing w:after="0"/>
              <w:rPr>
                <w:sz w:val="21"/>
                <w:szCs w:val="21"/>
                <w:color w:val="auto"/>
              </w:rPr>
            </w:pPr>
          </w:p>
        </w:tc>
        <w:tc>
          <w:tcPr>
            <w:tcW w:w="20" w:type="dxa"/>
            <w:vAlign w:val="bottom"/>
            <w:tcBorders>
              <w:bottom w:val="single" w:sz="8" w:color="F6F6F6"/>
            </w:tcBorders>
            <w:shd w:val="clear" w:color="auto" w:fill="F6F6F6"/>
          </w:tcPr>
          <w:p>
            <w:pPr>
              <w:spacing w:after="0"/>
              <w:rPr>
                <w:sz w:val="21"/>
                <w:szCs w:val="21"/>
                <w:color w:val="auto"/>
              </w:rPr>
            </w:pPr>
          </w:p>
        </w:tc>
        <w:tc>
          <w:tcPr>
            <w:tcW w:w="500" w:type="dxa"/>
            <w:vAlign w:val="bottom"/>
            <w:tcBorders>
              <w:bottom w:val="single" w:sz="8" w:color="F6F6F6"/>
            </w:tcBorders>
            <w:shd w:val="clear" w:color="auto" w:fill="F6F6F6"/>
          </w:tcPr>
          <w:p>
            <w:pPr>
              <w:spacing w:after="0"/>
              <w:rPr>
                <w:sz w:val="21"/>
                <w:szCs w:val="21"/>
                <w:color w:val="auto"/>
              </w:rPr>
            </w:pPr>
          </w:p>
        </w:tc>
        <w:tc>
          <w:tcPr>
            <w:tcW w:w="1360" w:type="dxa"/>
            <w:vAlign w:val="bottom"/>
            <w:tcBorders>
              <w:bottom w:val="single" w:sz="8" w:color="F6F6F6"/>
            </w:tcBorders>
            <w:shd w:val="clear" w:color="auto" w:fill="F6F6F6"/>
          </w:tcPr>
          <w:p>
            <w:pPr>
              <w:jc w:val="right"/>
              <w:spacing w:after="0"/>
              <w:rPr>
                <w:sz w:val="20"/>
                <w:szCs w:val="20"/>
                <w:color w:val="auto"/>
              </w:rPr>
            </w:pPr>
            <w:r>
              <w:rPr>
                <w:rFonts w:ascii="Arial" w:cs="Arial" w:eastAsia="Arial" w:hAnsi="Arial"/>
                <w:sz w:val="18"/>
                <w:szCs w:val="18"/>
                <w:color w:val="auto"/>
              </w:rPr>
              <w:t>11,602</w:t>
            </w:r>
          </w:p>
        </w:tc>
        <w:tc>
          <w:tcPr>
            <w:tcW w:w="0" w:type="dxa"/>
            <w:vAlign w:val="bottom"/>
          </w:tcPr>
          <w:p>
            <w:pPr>
              <w:spacing w:after="0"/>
              <w:rPr>
                <w:sz w:val="1"/>
                <w:szCs w:val="1"/>
                <w:color w:val="auto"/>
              </w:rPr>
            </w:pPr>
          </w:p>
        </w:tc>
      </w:tr>
      <w:tr>
        <w:trPr>
          <w:trHeight w:val="247"/>
        </w:trPr>
        <w:tc>
          <w:tcPr>
            <w:tcW w:w="4320" w:type="dxa"/>
            <w:vAlign w:val="bottom"/>
          </w:tcPr>
          <w:p>
            <w:pPr>
              <w:ind w:left="220"/>
              <w:spacing w:after="0"/>
              <w:rPr>
                <w:sz w:val="20"/>
                <w:szCs w:val="20"/>
                <w:color w:val="auto"/>
              </w:rPr>
            </w:pPr>
            <w:r>
              <w:rPr>
                <w:rFonts w:ascii="Arial" w:cs="Arial" w:eastAsia="Arial" w:hAnsi="Arial"/>
                <w:sz w:val="18"/>
                <w:szCs w:val="18"/>
                <w:color w:val="auto"/>
              </w:rPr>
              <w:t>Income tax expense</w:t>
            </w:r>
          </w:p>
        </w:tc>
        <w:tc>
          <w:tcPr>
            <w:tcW w:w="30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44,370</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46,002</w:t>
            </w:r>
          </w:p>
        </w:tc>
        <w:tc>
          <w:tcPr>
            <w:tcW w:w="0" w:type="dxa"/>
            <w:vAlign w:val="bottom"/>
          </w:tcPr>
          <w:p>
            <w:pPr>
              <w:spacing w:after="0"/>
              <w:rPr>
                <w:sz w:val="1"/>
                <w:szCs w:val="1"/>
                <w:color w:val="auto"/>
              </w:rPr>
            </w:pPr>
          </w:p>
        </w:tc>
      </w:tr>
      <w:tr>
        <w:trPr>
          <w:trHeight w:val="23"/>
        </w:trPr>
        <w:tc>
          <w:tcPr>
            <w:tcW w:w="4320" w:type="dxa"/>
            <w:vAlign w:val="bottom"/>
          </w:tcPr>
          <w:p>
            <w:pPr>
              <w:spacing w:after="0"/>
              <w:rPr>
                <w:sz w:val="2"/>
                <w:szCs w:val="2"/>
                <w:color w:val="auto"/>
              </w:rPr>
            </w:pPr>
          </w:p>
        </w:tc>
        <w:tc>
          <w:tcPr>
            <w:tcW w:w="308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20" w:type="dxa"/>
            <w:vAlign w:val="bottom"/>
            <w:tcBorders>
              <w:bottom w:val="single" w:sz="8" w:color="F6F6F6"/>
            </w:tcBorders>
            <w:shd w:val="clear" w:color="auto" w:fill="F6F6F6"/>
          </w:tcPr>
          <w:p>
            <w:pPr>
              <w:ind w:left="220"/>
              <w:spacing w:after="0"/>
              <w:rPr>
                <w:sz w:val="20"/>
                <w:szCs w:val="20"/>
                <w:color w:val="auto"/>
              </w:rPr>
            </w:pPr>
            <w:r>
              <w:rPr>
                <w:rFonts w:ascii="Arial" w:cs="Arial" w:eastAsia="Arial" w:hAnsi="Arial"/>
                <w:sz w:val="18"/>
                <w:szCs w:val="18"/>
                <w:color w:val="auto"/>
              </w:rPr>
              <w:t>Stock-based compensation expense</w:t>
            </w:r>
          </w:p>
        </w:tc>
        <w:tc>
          <w:tcPr>
            <w:tcW w:w="3080" w:type="dxa"/>
            <w:vAlign w:val="bottom"/>
            <w:tcBorders>
              <w:bottom w:val="single" w:sz="8" w:color="F6F6F6"/>
            </w:tcBorders>
            <w:shd w:val="clear" w:color="auto" w:fill="F6F6F6"/>
          </w:tcPr>
          <w:p>
            <w:pPr>
              <w:spacing w:after="0"/>
              <w:rPr>
                <w:sz w:val="21"/>
                <w:szCs w:val="21"/>
                <w:color w:val="auto"/>
              </w:rPr>
            </w:pPr>
          </w:p>
        </w:tc>
        <w:tc>
          <w:tcPr>
            <w:tcW w:w="40" w:type="dxa"/>
            <w:vAlign w:val="bottom"/>
            <w:tcBorders>
              <w:bottom w:val="single" w:sz="8" w:color="F6F6F6"/>
            </w:tcBorders>
            <w:shd w:val="clear" w:color="auto" w:fill="F6F6F6"/>
          </w:tcPr>
          <w:p>
            <w:pPr>
              <w:spacing w:after="0"/>
              <w:rPr>
                <w:sz w:val="21"/>
                <w:szCs w:val="21"/>
                <w:color w:val="auto"/>
              </w:rPr>
            </w:pPr>
          </w:p>
        </w:tc>
        <w:tc>
          <w:tcPr>
            <w:tcW w:w="420" w:type="dxa"/>
            <w:vAlign w:val="bottom"/>
            <w:tcBorders>
              <w:bottom w:val="single" w:sz="8" w:color="F6F6F6"/>
            </w:tcBorders>
            <w:shd w:val="clear" w:color="auto" w:fill="F6F6F6"/>
          </w:tcPr>
          <w:p>
            <w:pPr>
              <w:spacing w:after="0"/>
              <w:rPr>
                <w:sz w:val="21"/>
                <w:szCs w:val="21"/>
                <w:color w:val="auto"/>
              </w:rPr>
            </w:pPr>
          </w:p>
        </w:tc>
        <w:tc>
          <w:tcPr>
            <w:tcW w:w="1420" w:type="dxa"/>
            <w:vAlign w:val="bottom"/>
            <w:tcBorders>
              <w:bottom w:val="single" w:sz="8" w:color="F6F6F6"/>
            </w:tcBorders>
            <w:shd w:val="clear" w:color="auto" w:fill="F6F6F6"/>
          </w:tcPr>
          <w:p>
            <w:pPr>
              <w:jc w:val="right"/>
              <w:spacing w:after="0"/>
              <w:rPr>
                <w:sz w:val="20"/>
                <w:szCs w:val="20"/>
                <w:color w:val="auto"/>
              </w:rPr>
            </w:pPr>
            <w:r>
              <w:rPr>
                <w:rFonts w:ascii="Arial" w:cs="Arial" w:eastAsia="Arial" w:hAnsi="Arial"/>
                <w:sz w:val="18"/>
                <w:szCs w:val="18"/>
                <w:color w:val="auto"/>
              </w:rPr>
              <w:t>20,036</w:t>
            </w:r>
          </w:p>
        </w:tc>
        <w:tc>
          <w:tcPr>
            <w:tcW w:w="20" w:type="dxa"/>
            <w:vAlign w:val="bottom"/>
            <w:tcBorders>
              <w:bottom w:val="single" w:sz="8" w:color="F6F6F6"/>
            </w:tcBorders>
            <w:shd w:val="clear" w:color="auto" w:fill="F6F6F6"/>
          </w:tcPr>
          <w:p>
            <w:pPr>
              <w:spacing w:after="0"/>
              <w:rPr>
                <w:sz w:val="21"/>
                <w:szCs w:val="21"/>
                <w:color w:val="auto"/>
              </w:rPr>
            </w:pPr>
          </w:p>
        </w:tc>
        <w:tc>
          <w:tcPr>
            <w:tcW w:w="60" w:type="dxa"/>
            <w:vAlign w:val="bottom"/>
            <w:tcBorders>
              <w:bottom w:val="single" w:sz="8" w:color="F6F6F6"/>
            </w:tcBorders>
            <w:shd w:val="clear" w:color="auto" w:fill="F6F6F6"/>
          </w:tcPr>
          <w:p>
            <w:pPr>
              <w:spacing w:after="0"/>
              <w:rPr>
                <w:sz w:val="21"/>
                <w:szCs w:val="21"/>
                <w:color w:val="auto"/>
              </w:rPr>
            </w:pPr>
          </w:p>
        </w:tc>
        <w:tc>
          <w:tcPr>
            <w:tcW w:w="20" w:type="dxa"/>
            <w:vAlign w:val="bottom"/>
            <w:tcBorders>
              <w:bottom w:val="single" w:sz="8" w:color="F6F6F6"/>
            </w:tcBorders>
            <w:shd w:val="clear" w:color="auto" w:fill="F6F6F6"/>
          </w:tcPr>
          <w:p>
            <w:pPr>
              <w:spacing w:after="0"/>
              <w:rPr>
                <w:sz w:val="21"/>
                <w:szCs w:val="21"/>
                <w:color w:val="auto"/>
              </w:rPr>
            </w:pPr>
          </w:p>
        </w:tc>
        <w:tc>
          <w:tcPr>
            <w:tcW w:w="500" w:type="dxa"/>
            <w:vAlign w:val="bottom"/>
            <w:tcBorders>
              <w:bottom w:val="single" w:sz="8" w:color="F6F6F6"/>
            </w:tcBorders>
            <w:shd w:val="clear" w:color="auto" w:fill="F6F6F6"/>
          </w:tcPr>
          <w:p>
            <w:pPr>
              <w:spacing w:after="0"/>
              <w:rPr>
                <w:sz w:val="21"/>
                <w:szCs w:val="21"/>
                <w:color w:val="auto"/>
              </w:rPr>
            </w:pPr>
          </w:p>
        </w:tc>
        <w:tc>
          <w:tcPr>
            <w:tcW w:w="1360" w:type="dxa"/>
            <w:vAlign w:val="bottom"/>
            <w:tcBorders>
              <w:bottom w:val="single" w:sz="8" w:color="F6F6F6"/>
            </w:tcBorders>
            <w:shd w:val="clear" w:color="auto" w:fill="F6F6F6"/>
          </w:tcPr>
          <w:p>
            <w:pPr>
              <w:jc w:val="right"/>
              <w:spacing w:after="0"/>
              <w:rPr>
                <w:sz w:val="20"/>
                <w:szCs w:val="20"/>
                <w:color w:val="auto"/>
              </w:rPr>
            </w:pPr>
            <w:r>
              <w:rPr>
                <w:rFonts w:ascii="Arial" w:cs="Arial" w:eastAsia="Arial" w:hAnsi="Arial"/>
                <w:sz w:val="18"/>
                <w:szCs w:val="18"/>
                <w:color w:val="auto"/>
              </w:rPr>
              <w:t>22,273</w:t>
            </w:r>
          </w:p>
        </w:tc>
        <w:tc>
          <w:tcPr>
            <w:tcW w:w="0" w:type="dxa"/>
            <w:vAlign w:val="bottom"/>
          </w:tcPr>
          <w:p>
            <w:pPr>
              <w:spacing w:after="0"/>
              <w:rPr>
                <w:sz w:val="1"/>
                <w:szCs w:val="1"/>
                <w:color w:val="auto"/>
              </w:rPr>
            </w:pPr>
          </w:p>
        </w:tc>
      </w:tr>
      <w:tr>
        <w:trPr>
          <w:trHeight w:val="247"/>
        </w:trPr>
        <w:tc>
          <w:tcPr>
            <w:tcW w:w="4320" w:type="dxa"/>
            <w:vAlign w:val="bottom"/>
          </w:tcPr>
          <w:p>
            <w:pPr>
              <w:ind w:left="220"/>
              <w:spacing w:after="0"/>
              <w:rPr>
                <w:sz w:val="20"/>
                <w:szCs w:val="20"/>
                <w:color w:val="auto"/>
              </w:rPr>
            </w:pPr>
            <w:r>
              <w:rPr>
                <w:rFonts w:ascii="Arial" w:cs="Arial" w:eastAsia="Arial" w:hAnsi="Arial"/>
                <w:sz w:val="18"/>
                <w:szCs w:val="18"/>
                <w:color w:val="auto"/>
              </w:rPr>
              <w:t>Amortization of acquired intangible assets</w:t>
            </w:r>
          </w:p>
        </w:tc>
        <w:tc>
          <w:tcPr>
            <w:tcW w:w="30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4,318</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3,111</w:t>
            </w:r>
          </w:p>
        </w:tc>
        <w:tc>
          <w:tcPr>
            <w:tcW w:w="0" w:type="dxa"/>
            <w:vAlign w:val="bottom"/>
          </w:tcPr>
          <w:p>
            <w:pPr>
              <w:spacing w:after="0"/>
              <w:rPr>
                <w:sz w:val="1"/>
                <w:szCs w:val="1"/>
                <w:color w:val="auto"/>
              </w:rPr>
            </w:pPr>
          </w:p>
        </w:tc>
      </w:tr>
      <w:tr>
        <w:trPr>
          <w:trHeight w:val="23"/>
        </w:trPr>
        <w:tc>
          <w:tcPr>
            <w:tcW w:w="4320" w:type="dxa"/>
            <w:vAlign w:val="bottom"/>
          </w:tcPr>
          <w:p>
            <w:pPr>
              <w:spacing w:after="0"/>
              <w:rPr>
                <w:sz w:val="2"/>
                <w:szCs w:val="2"/>
                <w:color w:val="auto"/>
              </w:rPr>
            </w:pPr>
          </w:p>
        </w:tc>
        <w:tc>
          <w:tcPr>
            <w:tcW w:w="308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9"/>
        </w:trPr>
        <w:tc>
          <w:tcPr>
            <w:tcW w:w="4320" w:type="dxa"/>
            <w:vAlign w:val="bottom"/>
            <w:shd w:val="clear" w:color="auto" w:fill="F6F6F6"/>
          </w:tcPr>
          <w:p>
            <w:pPr>
              <w:ind w:left="80"/>
              <w:spacing w:after="0"/>
              <w:rPr>
                <w:sz w:val="20"/>
                <w:szCs w:val="20"/>
                <w:color w:val="auto"/>
              </w:rPr>
            </w:pPr>
            <w:r>
              <w:rPr>
                <w:rFonts w:ascii="Arial" w:cs="Arial" w:eastAsia="Arial" w:hAnsi="Arial"/>
                <w:sz w:val="18"/>
                <w:szCs w:val="18"/>
                <w:b w:val="1"/>
                <w:bCs w:val="1"/>
                <w:color w:val="auto"/>
              </w:rPr>
              <w:t>Adjusted income from operations</w:t>
            </w:r>
          </w:p>
        </w:tc>
        <w:tc>
          <w:tcPr>
            <w:tcW w:w="3540" w:type="dxa"/>
            <w:vAlign w:val="bottom"/>
            <w:gridSpan w:val="3"/>
            <w:shd w:val="clear" w:color="auto" w:fill="F6F6F6"/>
          </w:tcPr>
          <w:p>
            <w:pPr>
              <w:jc w:val="right"/>
              <w:ind w:right="300"/>
              <w:spacing w:after="0"/>
              <w:rPr>
                <w:sz w:val="20"/>
                <w:szCs w:val="20"/>
                <w:color w:val="auto"/>
              </w:rPr>
            </w:pPr>
            <w:r>
              <w:rPr>
                <w:rFonts w:ascii="Arial" w:cs="Arial" w:eastAsia="Arial" w:hAnsi="Arial"/>
                <w:sz w:val="18"/>
                <w:szCs w:val="18"/>
                <w:b w:val="1"/>
                <w:bCs w:val="1"/>
                <w:color w:val="auto"/>
              </w:rPr>
              <w:t>$</w:t>
            </w:r>
          </w:p>
        </w:tc>
        <w:tc>
          <w:tcPr>
            <w:tcW w:w="1420" w:type="dxa"/>
            <w:vAlign w:val="bottom"/>
            <w:shd w:val="clear" w:color="auto" w:fill="F6F6F6"/>
          </w:tcPr>
          <w:p>
            <w:pPr>
              <w:jc w:val="right"/>
              <w:spacing w:after="0"/>
              <w:rPr>
                <w:sz w:val="20"/>
                <w:szCs w:val="20"/>
                <w:color w:val="auto"/>
              </w:rPr>
            </w:pPr>
            <w:r>
              <w:rPr>
                <w:rFonts w:ascii="Arial" w:cs="Arial" w:eastAsia="Arial" w:hAnsi="Arial"/>
                <w:sz w:val="18"/>
                <w:szCs w:val="18"/>
                <w:b w:val="1"/>
                <w:bCs w:val="1"/>
                <w:color w:val="auto"/>
              </w:rPr>
              <w:t>209,734</w:t>
            </w:r>
          </w:p>
        </w:tc>
        <w:tc>
          <w:tcPr>
            <w:tcW w:w="20" w:type="dxa"/>
            <w:vAlign w:val="bottom"/>
            <w:shd w:val="clear" w:color="auto" w:fill="F6F6F6"/>
          </w:tcPr>
          <w:p>
            <w:pPr>
              <w:spacing w:after="0"/>
              <w:rPr>
                <w:sz w:val="24"/>
                <w:szCs w:val="24"/>
                <w:color w:val="auto"/>
              </w:rPr>
            </w:pPr>
          </w:p>
        </w:tc>
        <w:tc>
          <w:tcPr>
            <w:tcW w:w="60" w:type="dxa"/>
            <w:vAlign w:val="bottom"/>
            <w:shd w:val="clear" w:color="auto" w:fill="F6F6F6"/>
          </w:tcPr>
          <w:p>
            <w:pPr>
              <w:spacing w:after="0"/>
              <w:rPr>
                <w:sz w:val="24"/>
                <w:szCs w:val="24"/>
                <w:color w:val="auto"/>
              </w:rPr>
            </w:pPr>
          </w:p>
        </w:tc>
        <w:tc>
          <w:tcPr>
            <w:tcW w:w="20" w:type="dxa"/>
            <w:vAlign w:val="bottom"/>
            <w:shd w:val="clear" w:color="auto" w:fill="F6F6F6"/>
          </w:tcPr>
          <w:p>
            <w:pPr>
              <w:spacing w:after="0"/>
              <w:rPr>
                <w:sz w:val="24"/>
                <w:szCs w:val="24"/>
                <w:color w:val="auto"/>
              </w:rPr>
            </w:pPr>
          </w:p>
        </w:tc>
        <w:tc>
          <w:tcPr>
            <w:tcW w:w="500" w:type="dxa"/>
            <w:vAlign w:val="bottom"/>
            <w:shd w:val="clear" w:color="auto" w:fill="F6F6F6"/>
          </w:tcPr>
          <w:p>
            <w:pPr>
              <w:jc w:val="right"/>
              <w:ind w:right="290"/>
              <w:spacing w:after="0"/>
              <w:rPr>
                <w:sz w:val="20"/>
                <w:szCs w:val="20"/>
                <w:color w:val="auto"/>
              </w:rPr>
            </w:pPr>
            <w:r>
              <w:rPr>
                <w:rFonts w:ascii="Arial" w:cs="Arial" w:eastAsia="Arial" w:hAnsi="Arial"/>
                <w:sz w:val="18"/>
                <w:szCs w:val="18"/>
                <w:b w:val="1"/>
                <w:bCs w:val="1"/>
                <w:color w:val="auto"/>
                <w:w w:val="99"/>
              </w:rPr>
              <w:t>$</w:t>
            </w:r>
          </w:p>
        </w:tc>
        <w:tc>
          <w:tcPr>
            <w:tcW w:w="1360" w:type="dxa"/>
            <w:vAlign w:val="bottom"/>
            <w:shd w:val="clear" w:color="auto" w:fill="F6F6F6"/>
          </w:tcPr>
          <w:p>
            <w:pPr>
              <w:jc w:val="right"/>
              <w:spacing w:after="0"/>
              <w:rPr>
                <w:sz w:val="20"/>
                <w:szCs w:val="20"/>
                <w:color w:val="auto"/>
              </w:rPr>
            </w:pPr>
            <w:r>
              <w:rPr>
                <w:rFonts w:ascii="Arial" w:cs="Arial" w:eastAsia="Arial" w:hAnsi="Arial"/>
                <w:sz w:val="18"/>
                <w:szCs w:val="18"/>
                <w:b w:val="1"/>
                <w:bCs w:val="1"/>
                <w:color w:val="auto"/>
              </w:rPr>
              <w:t>223,678</w:t>
            </w:r>
          </w:p>
        </w:tc>
        <w:tc>
          <w:tcPr>
            <w:tcW w:w="0" w:type="dxa"/>
            <w:vAlign w:val="bottom"/>
          </w:tcPr>
          <w:p>
            <w:pPr>
              <w:spacing w:after="0"/>
              <w:rPr>
                <w:sz w:val="1"/>
                <w:szCs w:val="1"/>
                <w:color w:val="auto"/>
              </w:rPr>
            </w:pPr>
          </w:p>
        </w:tc>
      </w:tr>
      <w:tr>
        <w:trPr>
          <w:trHeight w:val="20"/>
        </w:trPr>
        <w:tc>
          <w:tcPr>
            <w:tcW w:w="4320" w:type="dxa"/>
            <w:vAlign w:val="bottom"/>
            <w:tcBorders>
              <w:top w:val="single" w:sz="8" w:color="F6F6F6"/>
              <w:bottom w:val="single" w:sz="8" w:color="F6F6F6"/>
            </w:tcBorders>
            <w:vMerge w:val="restart"/>
          </w:tcPr>
          <w:p>
            <w:pPr>
              <w:ind w:left="80"/>
              <w:spacing w:after="0"/>
              <w:rPr>
                <w:sz w:val="20"/>
                <w:szCs w:val="20"/>
                <w:color w:val="auto"/>
              </w:rPr>
            </w:pPr>
            <w:r>
              <w:rPr>
                <w:rFonts w:ascii="Arial" w:cs="Arial" w:eastAsia="Arial" w:hAnsi="Arial"/>
                <w:sz w:val="18"/>
                <w:szCs w:val="18"/>
                <w:color w:val="auto"/>
              </w:rPr>
              <w:t>Net income margin</w:t>
            </w:r>
          </w:p>
        </w:tc>
        <w:tc>
          <w:tcPr>
            <w:tcW w:w="3080" w:type="dxa"/>
            <w:vAlign w:val="bottom"/>
            <w:tcBorders>
              <w:top w:val="single" w:sz="8" w:color="F6F6F6"/>
            </w:tcBorders>
          </w:tcPr>
          <w:p>
            <w:pPr>
              <w:spacing w:after="0" w:line="20" w:lineRule="exact"/>
              <w:rPr>
                <w:sz w:val="1"/>
                <w:szCs w:val="1"/>
                <w:color w:val="auto"/>
              </w:rPr>
            </w:pPr>
          </w:p>
        </w:tc>
        <w:tc>
          <w:tcPr>
            <w:tcW w:w="40" w:type="dxa"/>
            <w:vAlign w:val="bottom"/>
            <w:tcBorders>
              <w:top w:val="single" w:sz="8" w:color="F6F6F6"/>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F6F6F6"/>
            </w:tcBorders>
          </w:tcPr>
          <w:p>
            <w:pPr>
              <w:spacing w:after="0" w:line="20" w:lineRule="exact"/>
              <w:rPr>
                <w:sz w:val="1"/>
                <w:szCs w:val="1"/>
                <w:color w:val="auto"/>
              </w:rPr>
            </w:pPr>
          </w:p>
        </w:tc>
        <w:tc>
          <w:tcPr>
            <w:tcW w:w="20" w:type="dxa"/>
            <w:vAlign w:val="bottom"/>
            <w:tcBorders>
              <w:top w:val="single" w:sz="8" w:color="F6F6F6"/>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320" w:type="dxa"/>
            <w:vAlign w:val="bottom"/>
            <w:vMerge w:val="continue"/>
          </w:tcPr>
          <w:p>
            <w:pPr>
              <w:spacing w:after="0"/>
              <w:rPr>
                <w:sz w:val="19"/>
                <w:szCs w:val="19"/>
                <w:color w:val="auto"/>
              </w:rPr>
            </w:pPr>
          </w:p>
        </w:tc>
        <w:tc>
          <w:tcPr>
            <w:tcW w:w="30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10.8 %</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11.4 %</w:t>
            </w:r>
          </w:p>
        </w:tc>
        <w:tc>
          <w:tcPr>
            <w:tcW w:w="0" w:type="dxa"/>
            <w:vAlign w:val="bottom"/>
          </w:tcPr>
          <w:p>
            <w:pPr>
              <w:spacing w:after="0"/>
              <w:rPr>
                <w:sz w:val="1"/>
                <w:szCs w:val="1"/>
                <w:color w:val="auto"/>
              </w:rPr>
            </w:pPr>
          </w:p>
        </w:tc>
      </w:tr>
      <w:tr>
        <w:trPr>
          <w:trHeight w:val="23"/>
        </w:trPr>
        <w:tc>
          <w:tcPr>
            <w:tcW w:w="4320" w:type="dxa"/>
            <w:vAlign w:val="bottom"/>
            <w:tcBorders>
              <w:bottom w:val="single" w:sz="8" w:color="F6F6F6"/>
            </w:tcBorders>
          </w:tcPr>
          <w:p>
            <w:pPr>
              <w:spacing w:after="0"/>
              <w:rPr>
                <w:sz w:val="2"/>
                <w:szCs w:val="2"/>
                <w:color w:val="auto"/>
              </w:rPr>
            </w:pPr>
          </w:p>
        </w:tc>
        <w:tc>
          <w:tcPr>
            <w:tcW w:w="3080" w:type="dxa"/>
            <w:vAlign w:val="bottom"/>
            <w:tcBorders>
              <w:bottom w:val="single" w:sz="8" w:color="F6F6F6"/>
            </w:tcBorders>
          </w:tcPr>
          <w:p>
            <w:pPr>
              <w:spacing w:after="0"/>
              <w:rPr>
                <w:sz w:val="2"/>
                <w:szCs w:val="2"/>
                <w:color w:val="auto"/>
              </w:rPr>
            </w:pPr>
          </w:p>
        </w:tc>
        <w:tc>
          <w:tcPr>
            <w:tcW w:w="40" w:type="dxa"/>
            <w:vAlign w:val="bottom"/>
            <w:tcBorders>
              <w:bottom w:val="single" w:sz="8" w:color="F6F6F6"/>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F6F6F6"/>
            </w:tcBorders>
          </w:tcPr>
          <w:p>
            <w:pPr>
              <w:spacing w:after="0"/>
              <w:rPr>
                <w:sz w:val="2"/>
                <w:szCs w:val="2"/>
                <w:color w:val="auto"/>
              </w:rPr>
            </w:pPr>
          </w:p>
        </w:tc>
        <w:tc>
          <w:tcPr>
            <w:tcW w:w="20" w:type="dxa"/>
            <w:vAlign w:val="bottom"/>
            <w:tcBorders>
              <w:bottom w:val="single" w:sz="8" w:color="F6F6F6"/>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4320" w:type="dxa"/>
            <w:vAlign w:val="bottom"/>
            <w:tcBorders>
              <w:bottom w:val="single" w:sz="8" w:color="F6F6F6"/>
            </w:tcBorders>
            <w:shd w:val="clear" w:color="auto" w:fill="F6F6F6"/>
          </w:tcPr>
          <w:p>
            <w:pPr>
              <w:ind w:left="80"/>
              <w:spacing w:after="0"/>
              <w:rPr>
                <w:sz w:val="20"/>
                <w:szCs w:val="20"/>
                <w:color w:val="auto"/>
              </w:rPr>
            </w:pPr>
            <w:r>
              <w:rPr>
                <w:rFonts w:ascii="Arial" w:cs="Arial" w:eastAsia="Arial" w:hAnsi="Arial"/>
                <w:sz w:val="18"/>
                <w:szCs w:val="18"/>
                <w:b w:val="1"/>
                <w:bCs w:val="1"/>
                <w:color w:val="auto"/>
              </w:rPr>
              <w:t>Adjusted income from operations margin</w:t>
            </w:r>
          </w:p>
        </w:tc>
        <w:tc>
          <w:tcPr>
            <w:tcW w:w="3080" w:type="dxa"/>
            <w:vAlign w:val="bottom"/>
            <w:tcBorders>
              <w:bottom w:val="single" w:sz="8" w:color="F6F6F6"/>
            </w:tcBorders>
            <w:shd w:val="clear" w:color="auto" w:fill="F6F6F6"/>
          </w:tcPr>
          <w:p>
            <w:pPr>
              <w:spacing w:after="0"/>
              <w:rPr>
                <w:sz w:val="24"/>
                <w:szCs w:val="24"/>
                <w:color w:val="auto"/>
              </w:rPr>
            </w:pPr>
          </w:p>
        </w:tc>
        <w:tc>
          <w:tcPr>
            <w:tcW w:w="40" w:type="dxa"/>
            <w:vAlign w:val="bottom"/>
            <w:tcBorders>
              <w:bottom w:val="single" w:sz="8" w:color="F6F6F6"/>
            </w:tcBorders>
            <w:shd w:val="clear" w:color="auto" w:fill="F6F6F6"/>
          </w:tcPr>
          <w:p>
            <w:pPr>
              <w:spacing w:after="0"/>
              <w:rPr>
                <w:sz w:val="24"/>
                <w:szCs w:val="24"/>
                <w:color w:val="auto"/>
              </w:rPr>
            </w:pPr>
          </w:p>
        </w:tc>
        <w:tc>
          <w:tcPr>
            <w:tcW w:w="420" w:type="dxa"/>
            <w:vAlign w:val="bottom"/>
            <w:tcBorders>
              <w:bottom w:val="single" w:sz="8" w:color="auto"/>
            </w:tcBorders>
            <w:shd w:val="clear" w:color="auto" w:fill="F6F6F6"/>
          </w:tcPr>
          <w:p>
            <w:pPr>
              <w:spacing w:after="0"/>
              <w:rPr>
                <w:sz w:val="24"/>
                <w:szCs w:val="24"/>
                <w:color w:val="auto"/>
              </w:rPr>
            </w:pPr>
          </w:p>
        </w:tc>
        <w:tc>
          <w:tcPr>
            <w:tcW w:w="1420" w:type="dxa"/>
            <w:vAlign w:val="bottom"/>
            <w:tcBorders>
              <w:bottom w:val="single" w:sz="8" w:color="auto"/>
            </w:tcBorders>
            <w:shd w:val="clear" w:color="auto" w:fill="F6F6F6"/>
          </w:tcPr>
          <w:p>
            <w:pPr>
              <w:jc w:val="right"/>
              <w:spacing w:after="0"/>
              <w:rPr>
                <w:sz w:val="20"/>
                <w:szCs w:val="20"/>
                <w:color w:val="auto"/>
              </w:rPr>
            </w:pPr>
            <w:r>
              <w:rPr>
                <w:rFonts w:ascii="Arial" w:cs="Arial" w:eastAsia="Arial" w:hAnsi="Arial"/>
                <w:sz w:val="18"/>
                <w:szCs w:val="18"/>
                <w:b w:val="1"/>
                <w:bCs w:val="1"/>
                <w:color w:val="auto"/>
              </w:rPr>
              <w:t>17.3 %</w:t>
            </w:r>
          </w:p>
        </w:tc>
        <w:tc>
          <w:tcPr>
            <w:tcW w:w="20" w:type="dxa"/>
            <w:vAlign w:val="bottom"/>
            <w:tcBorders>
              <w:bottom w:val="single" w:sz="8" w:color="auto"/>
            </w:tcBorders>
            <w:shd w:val="clear" w:color="auto" w:fill="F6F6F6"/>
          </w:tcPr>
          <w:p>
            <w:pPr>
              <w:spacing w:after="0"/>
              <w:rPr>
                <w:sz w:val="24"/>
                <w:szCs w:val="24"/>
                <w:color w:val="auto"/>
              </w:rPr>
            </w:pPr>
          </w:p>
        </w:tc>
        <w:tc>
          <w:tcPr>
            <w:tcW w:w="60" w:type="dxa"/>
            <w:vAlign w:val="bottom"/>
            <w:tcBorders>
              <w:bottom w:val="single" w:sz="8" w:color="F6F6F6"/>
            </w:tcBorders>
            <w:shd w:val="clear" w:color="auto" w:fill="F6F6F6"/>
          </w:tcPr>
          <w:p>
            <w:pPr>
              <w:spacing w:after="0"/>
              <w:rPr>
                <w:sz w:val="24"/>
                <w:szCs w:val="24"/>
                <w:color w:val="auto"/>
              </w:rPr>
            </w:pPr>
          </w:p>
        </w:tc>
        <w:tc>
          <w:tcPr>
            <w:tcW w:w="20" w:type="dxa"/>
            <w:vAlign w:val="bottom"/>
            <w:tcBorders>
              <w:bottom w:val="single" w:sz="8" w:color="F6F6F6"/>
            </w:tcBorders>
            <w:shd w:val="clear" w:color="auto" w:fill="F6F6F6"/>
          </w:tcPr>
          <w:p>
            <w:pPr>
              <w:spacing w:after="0"/>
              <w:rPr>
                <w:sz w:val="24"/>
                <w:szCs w:val="24"/>
                <w:color w:val="auto"/>
              </w:rPr>
            </w:pPr>
          </w:p>
        </w:tc>
        <w:tc>
          <w:tcPr>
            <w:tcW w:w="500" w:type="dxa"/>
            <w:vAlign w:val="bottom"/>
            <w:tcBorders>
              <w:bottom w:val="single" w:sz="8" w:color="auto"/>
            </w:tcBorders>
            <w:shd w:val="clear" w:color="auto" w:fill="F6F6F6"/>
          </w:tcPr>
          <w:p>
            <w:pPr>
              <w:spacing w:after="0"/>
              <w:rPr>
                <w:sz w:val="24"/>
                <w:szCs w:val="24"/>
                <w:color w:val="auto"/>
              </w:rPr>
            </w:pPr>
          </w:p>
        </w:tc>
        <w:tc>
          <w:tcPr>
            <w:tcW w:w="1360" w:type="dxa"/>
            <w:vAlign w:val="bottom"/>
            <w:tcBorders>
              <w:bottom w:val="single" w:sz="8" w:color="auto"/>
            </w:tcBorders>
            <w:shd w:val="clear" w:color="auto" w:fill="F6F6F6"/>
          </w:tcPr>
          <w:p>
            <w:pPr>
              <w:jc w:val="right"/>
              <w:spacing w:after="0"/>
              <w:rPr>
                <w:sz w:val="20"/>
                <w:szCs w:val="20"/>
                <w:color w:val="auto"/>
              </w:rPr>
            </w:pPr>
            <w:r>
              <w:rPr>
                <w:rFonts w:ascii="Arial" w:cs="Arial" w:eastAsia="Arial" w:hAnsi="Arial"/>
                <w:sz w:val="18"/>
                <w:szCs w:val="18"/>
                <w:b w:val="1"/>
                <w:bCs w:val="1"/>
                <w:color w:val="auto"/>
              </w:rPr>
              <w:t>17.3 %</w:t>
            </w:r>
          </w:p>
        </w:tc>
        <w:tc>
          <w:tcPr>
            <w:tcW w:w="0" w:type="dxa"/>
            <w:vAlign w:val="bottom"/>
          </w:tcPr>
          <w:p>
            <w:pPr>
              <w:spacing w:after="0"/>
              <w:rPr>
                <w:sz w:val="1"/>
                <w:szCs w:val="1"/>
                <w:color w:val="auto"/>
              </w:rPr>
            </w:pPr>
          </w:p>
        </w:tc>
      </w:tr>
      <w:tr>
        <w:trPr>
          <w:trHeight w:val="20"/>
        </w:trPr>
        <w:tc>
          <w:tcPr>
            <w:tcW w:w="7400" w:type="dxa"/>
            <w:vAlign w:val="bottom"/>
            <w:tcBorders>
              <w:top w:val="single" w:sz="8" w:color="F6F6F6"/>
            </w:tcBorders>
            <w:gridSpan w:val="2"/>
          </w:tcPr>
          <w:p>
            <w:pPr>
              <w:spacing w:after="0" w:line="20" w:lineRule="exact"/>
              <w:rPr>
                <w:sz w:val="1"/>
                <w:szCs w:val="1"/>
                <w:color w:val="auto"/>
              </w:rPr>
            </w:pPr>
          </w:p>
        </w:tc>
        <w:tc>
          <w:tcPr>
            <w:tcW w:w="40" w:type="dxa"/>
            <w:vAlign w:val="bottom"/>
            <w:tcBorders>
              <w:top w:val="single" w:sz="8" w:color="F6F6F6"/>
            </w:tcBorders>
          </w:tcPr>
          <w:p>
            <w:pPr>
              <w:spacing w:after="0" w:line="20" w:lineRule="exact"/>
              <w:rPr>
                <w:sz w:val="1"/>
                <w:szCs w:val="1"/>
                <w:color w:val="auto"/>
              </w:rPr>
            </w:pPr>
          </w:p>
        </w:tc>
        <w:tc>
          <w:tcPr>
            <w:tcW w:w="1840" w:type="dxa"/>
            <w:vAlign w:val="bottom"/>
            <w:tcBorders>
              <w:top w:val="single" w:sz="8" w:color="F6F6F6"/>
              <w:bottom w:val="single" w:sz="8" w:color="auto"/>
            </w:tcBorders>
            <w:gridSpan w:val="2"/>
          </w:tcPr>
          <w:p>
            <w:pPr>
              <w:spacing w:after="0" w:line="20" w:lineRule="exact"/>
              <w:rPr>
                <w:sz w:val="1"/>
                <w:szCs w:val="1"/>
                <w:color w:val="auto"/>
              </w:rPr>
            </w:pPr>
          </w:p>
        </w:tc>
        <w:tc>
          <w:tcPr>
            <w:tcW w:w="20" w:type="dxa"/>
            <w:vAlign w:val="bottom"/>
            <w:tcBorders>
              <w:top w:val="single" w:sz="8" w:color="F6F6F6"/>
              <w:bottom w:val="single" w:sz="8" w:color="auto"/>
            </w:tcBorders>
          </w:tcPr>
          <w:p>
            <w:pPr>
              <w:spacing w:after="0" w:line="20" w:lineRule="exact"/>
              <w:rPr>
                <w:sz w:val="1"/>
                <w:szCs w:val="1"/>
                <w:color w:val="auto"/>
              </w:rPr>
            </w:pPr>
          </w:p>
        </w:tc>
        <w:tc>
          <w:tcPr>
            <w:tcW w:w="60" w:type="dxa"/>
            <w:vAlign w:val="bottom"/>
            <w:tcBorders>
              <w:top w:val="single" w:sz="8" w:color="F6F6F6"/>
            </w:tcBorders>
          </w:tcPr>
          <w:p>
            <w:pPr>
              <w:spacing w:after="0" w:line="20" w:lineRule="exact"/>
              <w:rPr>
                <w:sz w:val="1"/>
                <w:szCs w:val="1"/>
                <w:color w:val="auto"/>
              </w:rPr>
            </w:pPr>
          </w:p>
        </w:tc>
        <w:tc>
          <w:tcPr>
            <w:tcW w:w="20" w:type="dxa"/>
            <w:vAlign w:val="bottom"/>
            <w:tcBorders>
              <w:top w:val="single" w:sz="8" w:color="F6F6F6"/>
            </w:tcBorders>
          </w:tcPr>
          <w:p>
            <w:pPr>
              <w:spacing w:after="0" w:line="20" w:lineRule="exact"/>
              <w:rPr>
                <w:sz w:val="1"/>
                <w:szCs w:val="1"/>
                <w:color w:val="auto"/>
              </w:rPr>
            </w:pPr>
          </w:p>
        </w:tc>
        <w:tc>
          <w:tcPr>
            <w:tcW w:w="500" w:type="dxa"/>
            <w:vAlign w:val="bottom"/>
            <w:tcBorders>
              <w:top w:val="single" w:sz="8" w:color="F6F6F6"/>
              <w:bottom w:val="single" w:sz="8" w:color="auto"/>
            </w:tcBorders>
          </w:tcPr>
          <w:p>
            <w:pPr>
              <w:spacing w:after="0" w:line="20" w:lineRule="exact"/>
              <w:rPr>
                <w:sz w:val="1"/>
                <w:szCs w:val="1"/>
                <w:color w:val="auto"/>
              </w:rPr>
            </w:pPr>
          </w:p>
        </w:tc>
        <w:tc>
          <w:tcPr>
            <w:tcW w:w="1360" w:type="dxa"/>
            <w:vAlign w:val="bottom"/>
            <w:tcBorders>
              <w:top w:val="single" w:sz="8" w:color="F6F6F6"/>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06"/>
        </w:trPr>
        <w:tc>
          <w:tcPr>
            <w:tcW w:w="9880" w:type="dxa"/>
            <w:vAlign w:val="bottom"/>
            <w:gridSpan w:val="9"/>
          </w:tcPr>
          <w:p>
            <w:pPr>
              <w:ind w:left="1620"/>
              <w:spacing w:after="0"/>
              <w:rPr>
                <w:sz w:val="20"/>
                <w:szCs w:val="20"/>
                <w:color w:val="auto"/>
              </w:rPr>
            </w:pPr>
            <w:r>
              <w:rPr>
                <w:rFonts w:ascii="Arial" w:cs="Arial" w:eastAsia="Arial" w:hAnsi="Arial"/>
                <w:sz w:val="18"/>
                <w:szCs w:val="18"/>
                <w:b w:val="1"/>
                <w:bCs w:val="1"/>
                <w:color w:val="auto"/>
              </w:rPr>
              <w:t>Reconciliation of Income from Operations/Margin to Adjusted Income from Operations/Margin</w:t>
            </w: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4320" w:type="dxa"/>
            <w:vAlign w:val="bottom"/>
          </w:tcPr>
          <w:p>
            <w:pPr>
              <w:spacing w:after="0"/>
              <w:rPr>
                <w:sz w:val="20"/>
                <w:szCs w:val="20"/>
                <w:color w:val="auto"/>
              </w:rPr>
            </w:pPr>
          </w:p>
        </w:tc>
        <w:tc>
          <w:tcPr>
            <w:tcW w:w="3540" w:type="dxa"/>
            <w:vAlign w:val="bottom"/>
            <w:gridSpan w:val="3"/>
          </w:tcPr>
          <w:p>
            <w:pPr>
              <w:jc w:val="right"/>
              <w:ind w:right="1660"/>
              <w:spacing w:after="0"/>
              <w:rPr>
                <w:sz w:val="20"/>
                <w:szCs w:val="20"/>
                <w:color w:val="auto"/>
              </w:rPr>
            </w:pPr>
            <w:r>
              <w:rPr>
                <w:rFonts w:ascii="Arial" w:cs="Arial" w:eastAsia="Arial" w:hAnsi="Arial"/>
                <w:sz w:val="18"/>
                <w:szCs w:val="18"/>
                <w:color w:val="auto"/>
              </w:rPr>
              <w:t>(In thousands)</w:t>
            </w:r>
          </w:p>
        </w:tc>
        <w:tc>
          <w:tcPr>
            <w:tcW w:w="1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9"/>
        </w:trPr>
        <w:tc>
          <w:tcPr>
            <w:tcW w:w="432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gridSpan w:val="6"/>
          </w:tcPr>
          <w:p>
            <w:pPr>
              <w:jc w:val="right"/>
              <w:ind w:right="772"/>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223"/>
        </w:trPr>
        <w:tc>
          <w:tcPr>
            <w:tcW w:w="4320" w:type="dxa"/>
            <w:vAlign w:val="bottom"/>
            <w:tcBorders>
              <w:bottom w:val="single" w:sz="8" w:color="F6F6F6"/>
            </w:tcBorders>
          </w:tcPr>
          <w:p>
            <w:pPr>
              <w:spacing w:after="0"/>
              <w:rPr>
                <w:sz w:val="19"/>
                <w:szCs w:val="19"/>
                <w:color w:val="auto"/>
              </w:rPr>
            </w:pPr>
          </w:p>
        </w:tc>
        <w:tc>
          <w:tcPr>
            <w:tcW w:w="3080" w:type="dxa"/>
            <w:vAlign w:val="bottom"/>
            <w:tcBorders>
              <w:bottom w:val="single" w:sz="8" w:color="F6F6F6"/>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694"/>
              <w:spacing w:after="0"/>
              <w:rPr>
                <w:sz w:val="20"/>
                <w:szCs w:val="20"/>
                <w:color w:val="auto"/>
              </w:rPr>
            </w:pPr>
            <w:r>
              <w:rPr>
                <w:rFonts w:ascii="Arial" w:cs="Arial" w:eastAsia="Arial" w:hAnsi="Arial"/>
                <w:sz w:val="14"/>
                <w:szCs w:val="14"/>
                <w:b w:val="1"/>
                <w:bCs w:val="1"/>
                <w:color w:val="auto"/>
              </w:rPr>
              <w:t>2025</w:t>
            </w:r>
          </w:p>
        </w:tc>
        <w:tc>
          <w:tcPr>
            <w:tcW w:w="20" w:type="dxa"/>
            <w:vAlign w:val="bottom"/>
            <w:tcBorders>
              <w:bottom w:val="single" w:sz="8" w:color="F6F6F6"/>
            </w:tcBorders>
          </w:tcPr>
          <w:p>
            <w:pPr>
              <w:spacing w:after="0"/>
              <w:rPr>
                <w:sz w:val="19"/>
                <w:szCs w:val="19"/>
                <w:color w:val="auto"/>
              </w:rPr>
            </w:pPr>
          </w:p>
        </w:tc>
        <w:tc>
          <w:tcPr>
            <w:tcW w:w="60" w:type="dxa"/>
            <w:vAlign w:val="bottom"/>
            <w:tcBorders>
              <w:bottom w:val="single" w:sz="8" w:color="F6F6F6"/>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692"/>
              <w:spacing w:after="0"/>
              <w:rPr>
                <w:sz w:val="20"/>
                <w:szCs w:val="20"/>
                <w:color w:val="auto"/>
              </w:rPr>
            </w:pPr>
            <w:r>
              <w:rPr>
                <w:rFonts w:ascii="Arial" w:cs="Arial" w:eastAsia="Arial" w:hAnsi="Arial"/>
                <w:sz w:val="14"/>
                <w:szCs w:val="14"/>
                <w:b w:val="1"/>
                <w:bCs w:val="1"/>
                <w:color w:val="auto"/>
              </w:rPr>
              <w:t>2026</w:t>
            </w:r>
          </w:p>
        </w:tc>
        <w:tc>
          <w:tcPr>
            <w:tcW w:w="0" w:type="dxa"/>
            <w:vAlign w:val="bottom"/>
          </w:tcPr>
          <w:p>
            <w:pPr>
              <w:spacing w:after="0"/>
              <w:rPr>
                <w:sz w:val="1"/>
                <w:szCs w:val="1"/>
                <w:color w:val="auto"/>
              </w:rPr>
            </w:pPr>
          </w:p>
        </w:tc>
      </w:tr>
      <w:tr>
        <w:trPr>
          <w:trHeight w:val="270"/>
        </w:trPr>
        <w:tc>
          <w:tcPr>
            <w:tcW w:w="4320" w:type="dxa"/>
            <w:vAlign w:val="bottom"/>
            <w:shd w:val="clear" w:color="auto" w:fill="F6F6F6"/>
          </w:tcPr>
          <w:p>
            <w:pPr>
              <w:ind w:left="80"/>
              <w:spacing w:after="0"/>
              <w:rPr>
                <w:sz w:val="20"/>
                <w:szCs w:val="20"/>
                <w:color w:val="auto"/>
              </w:rPr>
            </w:pPr>
            <w:r>
              <w:rPr>
                <w:rFonts w:ascii="Arial" w:cs="Arial" w:eastAsia="Arial" w:hAnsi="Arial"/>
                <w:sz w:val="18"/>
                <w:szCs w:val="18"/>
                <w:b w:val="1"/>
                <w:bCs w:val="1"/>
                <w:color w:val="auto"/>
              </w:rPr>
              <w:t>Income from operations</w:t>
            </w:r>
          </w:p>
        </w:tc>
        <w:tc>
          <w:tcPr>
            <w:tcW w:w="3540" w:type="dxa"/>
            <w:vAlign w:val="bottom"/>
            <w:gridSpan w:val="3"/>
            <w:shd w:val="clear" w:color="auto" w:fill="F6F6F6"/>
          </w:tcPr>
          <w:p>
            <w:pPr>
              <w:jc w:val="right"/>
              <w:ind w:right="340"/>
              <w:spacing w:after="0"/>
              <w:rPr>
                <w:sz w:val="20"/>
                <w:szCs w:val="20"/>
                <w:color w:val="auto"/>
              </w:rPr>
            </w:pPr>
            <w:r>
              <w:rPr>
                <w:rFonts w:ascii="Arial" w:cs="Arial" w:eastAsia="Arial" w:hAnsi="Arial"/>
                <w:sz w:val="18"/>
                <w:szCs w:val="18"/>
                <w:b w:val="1"/>
                <w:bCs w:val="1"/>
                <w:color w:val="auto"/>
              </w:rPr>
              <w:t>$</w:t>
            </w:r>
          </w:p>
        </w:tc>
        <w:tc>
          <w:tcPr>
            <w:tcW w:w="1420" w:type="dxa"/>
            <w:vAlign w:val="bottom"/>
            <w:shd w:val="clear" w:color="auto" w:fill="F6F6F6"/>
          </w:tcPr>
          <w:p>
            <w:pPr>
              <w:jc w:val="right"/>
              <w:spacing w:after="0"/>
              <w:rPr>
                <w:sz w:val="20"/>
                <w:szCs w:val="20"/>
                <w:color w:val="auto"/>
              </w:rPr>
            </w:pPr>
            <w:r>
              <w:rPr>
                <w:rFonts w:ascii="Arial" w:cs="Arial" w:eastAsia="Arial" w:hAnsi="Arial"/>
                <w:sz w:val="18"/>
                <w:szCs w:val="18"/>
                <w:b w:val="1"/>
                <w:bCs w:val="1"/>
                <w:color w:val="auto"/>
              </w:rPr>
              <w:t>183,702</w:t>
            </w:r>
          </w:p>
        </w:tc>
        <w:tc>
          <w:tcPr>
            <w:tcW w:w="20" w:type="dxa"/>
            <w:vAlign w:val="bottom"/>
            <w:shd w:val="clear" w:color="auto" w:fill="F6F6F6"/>
          </w:tcPr>
          <w:p>
            <w:pPr>
              <w:spacing w:after="0"/>
              <w:rPr>
                <w:sz w:val="23"/>
                <w:szCs w:val="23"/>
                <w:color w:val="auto"/>
              </w:rPr>
            </w:pPr>
          </w:p>
        </w:tc>
        <w:tc>
          <w:tcPr>
            <w:tcW w:w="60" w:type="dxa"/>
            <w:vAlign w:val="bottom"/>
            <w:shd w:val="clear" w:color="auto" w:fill="F6F6F6"/>
          </w:tcPr>
          <w:p>
            <w:pPr>
              <w:spacing w:after="0"/>
              <w:rPr>
                <w:sz w:val="23"/>
                <w:szCs w:val="23"/>
                <w:color w:val="auto"/>
              </w:rPr>
            </w:pPr>
          </w:p>
        </w:tc>
        <w:tc>
          <w:tcPr>
            <w:tcW w:w="20" w:type="dxa"/>
            <w:vAlign w:val="bottom"/>
            <w:shd w:val="clear" w:color="auto" w:fill="F6F6F6"/>
          </w:tcPr>
          <w:p>
            <w:pPr>
              <w:spacing w:after="0"/>
              <w:rPr>
                <w:sz w:val="23"/>
                <w:szCs w:val="23"/>
                <w:color w:val="auto"/>
              </w:rPr>
            </w:pPr>
          </w:p>
        </w:tc>
        <w:tc>
          <w:tcPr>
            <w:tcW w:w="500" w:type="dxa"/>
            <w:vAlign w:val="bottom"/>
            <w:shd w:val="clear" w:color="auto" w:fill="F6F6F6"/>
          </w:tcPr>
          <w:p>
            <w:pPr>
              <w:jc w:val="right"/>
              <w:ind w:right="310"/>
              <w:spacing w:after="0"/>
              <w:rPr>
                <w:sz w:val="20"/>
                <w:szCs w:val="20"/>
                <w:color w:val="auto"/>
              </w:rPr>
            </w:pPr>
            <w:r>
              <w:rPr>
                <w:rFonts w:ascii="Arial" w:cs="Arial" w:eastAsia="Arial" w:hAnsi="Arial"/>
                <w:sz w:val="18"/>
                <w:szCs w:val="18"/>
                <w:b w:val="1"/>
                <w:bCs w:val="1"/>
                <w:color w:val="auto"/>
                <w:w w:val="79"/>
              </w:rPr>
              <w:t>$</w:t>
            </w:r>
          </w:p>
        </w:tc>
        <w:tc>
          <w:tcPr>
            <w:tcW w:w="1360" w:type="dxa"/>
            <w:vAlign w:val="bottom"/>
            <w:shd w:val="clear" w:color="auto" w:fill="F6F6F6"/>
          </w:tcPr>
          <w:p>
            <w:pPr>
              <w:jc w:val="right"/>
              <w:spacing w:after="0"/>
              <w:rPr>
                <w:sz w:val="20"/>
                <w:szCs w:val="20"/>
                <w:color w:val="auto"/>
              </w:rPr>
            </w:pPr>
            <w:r>
              <w:rPr>
                <w:rFonts w:ascii="Arial" w:cs="Arial" w:eastAsia="Arial" w:hAnsi="Arial"/>
                <w:sz w:val="18"/>
                <w:szCs w:val="18"/>
                <w:b w:val="1"/>
                <w:bCs w:val="1"/>
                <w:color w:val="auto"/>
              </w:rPr>
              <w:t>198,583</w:t>
            </w:r>
          </w:p>
        </w:tc>
        <w:tc>
          <w:tcPr>
            <w:tcW w:w="0" w:type="dxa"/>
            <w:vAlign w:val="bottom"/>
          </w:tcPr>
          <w:p>
            <w:pPr>
              <w:spacing w:after="0"/>
              <w:rPr>
                <w:sz w:val="1"/>
                <w:szCs w:val="1"/>
                <w:color w:val="auto"/>
              </w:rPr>
            </w:pPr>
          </w:p>
        </w:tc>
      </w:tr>
      <w:tr>
        <w:trPr>
          <w:trHeight w:val="247"/>
        </w:trPr>
        <w:tc>
          <w:tcPr>
            <w:tcW w:w="4320" w:type="dxa"/>
            <w:vAlign w:val="bottom"/>
          </w:tcPr>
          <w:p>
            <w:pPr>
              <w:ind w:left="220"/>
              <w:spacing w:after="0"/>
              <w:rPr>
                <w:sz w:val="20"/>
                <w:szCs w:val="20"/>
                <w:color w:val="auto"/>
              </w:rPr>
            </w:pPr>
            <w:r>
              <w:rPr>
                <w:rFonts w:ascii="Arial" w:cs="Arial" w:eastAsia="Arial" w:hAnsi="Arial"/>
                <w:sz w:val="18"/>
                <w:szCs w:val="18"/>
                <w:color w:val="auto"/>
              </w:rPr>
              <w:t>Stock-based compensation expense</w:t>
            </w:r>
          </w:p>
        </w:tc>
        <w:tc>
          <w:tcPr>
            <w:tcW w:w="30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20,036</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22,273</w:t>
            </w:r>
          </w:p>
        </w:tc>
        <w:tc>
          <w:tcPr>
            <w:tcW w:w="0" w:type="dxa"/>
            <w:vAlign w:val="bottom"/>
          </w:tcPr>
          <w:p>
            <w:pPr>
              <w:spacing w:after="0"/>
              <w:rPr>
                <w:sz w:val="1"/>
                <w:szCs w:val="1"/>
                <w:color w:val="auto"/>
              </w:rPr>
            </w:pPr>
          </w:p>
        </w:tc>
      </w:tr>
      <w:tr>
        <w:trPr>
          <w:trHeight w:val="23"/>
        </w:trPr>
        <w:tc>
          <w:tcPr>
            <w:tcW w:w="4320" w:type="dxa"/>
            <w:vAlign w:val="bottom"/>
          </w:tcPr>
          <w:p>
            <w:pPr>
              <w:spacing w:after="0"/>
              <w:rPr>
                <w:sz w:val="2"/>
                <w:szCs w:val="2"/>
                <w:color w:val="auto"/>
              </w:rPr>
            </w:pPr>
          </w:p>
        </w:tc>
        <w:tc>
          <w:tcPr>
            <w:tcW w:w="308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20" w:type="dxa"/>
            <w:vAlign w:val="bottom"/>
            <w:tcBorders>
              <w:bottom w:val="single" w:sz="8" w:color="F6F6F6"/>
            </w:tcBorders>
            <w:shd w:val="clear" w:color="auto" w:fill="F6F6F6"/>
          </w:tcPr>
          <w:p>
            <w:pPr>
              <w:ind w:left="220"/>
              <w:spacing w:after="0"/>
              <w:rPr>
                <w:sz w:val="20"/>
                <w:szCs w:val="20"/>
                <w:color w:val="auto"/>
              </w:rPr>
            </w:pPr>
            <w:r>
              <w:rPr>
                <w:rFonts w:ascii="Arial" w:cs="Arial" w:eastAsia="Arial" w:hAnsi="Arial"/>
                <w:sz w:val="18"/>
                <w:szCs w:val="18"/>
                <w:color w:val="auto"/>
              </w:rPr>
              <w:t>Amortization of acquired intangible assets</w:t>
            </w:r>
          </w:p>
        </w:tc>
        <w:tc>
          <w:tcPr>
            <w:tcW w:w="3080" w:type="dxa"/>
            <w:vAlign w:val="bottom"/>
            <w:tcBorders>
              <w:bottom w:val="single" w:sz="8" w:color="F6F6F6"/>
            </w:tcBorders>
            <w:shd w:val="clear" w:color="auto" w:fill="F6F6F6"/>
          </w:tcPr>
          <w:p>
            <w:pPr>
              <w:spacing w:after="0"/>
              <w:rPr>
                <w:sz w:val="21"/>
                <w:szCs w:val="21"/>
                <w:color w:val="auto"/>
              </w:rPr>
            </w:pPr>
          </w:p>
        </w:tc>
        <w:tc>
          <w:tcPr>
            <w:tcW w:w="40" w:type="dxa"/>
            <w:vAlign w:val="bottom"/>
            <w:tcBorders>
              <w:bottom w:val="single" w:sz="8" w:color="F6F6F6"/>
            </w:tcBorders>
            <w:shd w:val="clear" w:color="auto" w:fill="F6F6F6"/>
          </w:tcPr>
          <w:p>
            <w:pPr>
              <w:spacing w:after="0"/>
              <w:rPr>
                <w:sz w:val="21"/>
                <w:szCs w:val="21"/>
                <w:color w:val="auto"/>
              </w:rPr>
            </w:pPr>
          </w:p>
        </w:tc>
        <w:tc>
          <w:tcPr>
            <w:tcW w:w="420" w:type="dxa"/>
            <w:vAlign w:val="bottom"/>
            <w:tcBorders>
              <w:bottom w:val="single" w:sz="8" w:color="F6F6F6"/>
            </w:tcBorders>
            <w:shd w:val="clear" w:color="auto" w:fill="F6F6F6"/>
          </w:tcPr>
          <w:p>
            <w:pPr>
              <w:spacing w:after="0"/>
              <w:rPr>
                <w:sz w:val="21"/>
                <w:szCs w:val="21"/>
                <w:color w:val="auto"/>
              </w:rPr>
            </w:pPr>
          </w:p>
        </w:tc>
        <w:tc>
          <w:tcPr>
            <w:tcW w:w="1420" w:type="dxa"/>
            <w:vAlign w:val="bottom"/>
            <w:tcBorders>
              <w:bottom w:val="single" w:sz="8" w:color="F6F6F6"/>
            </w:tcBorders>
            <w:shd w:val="clear" w:color="auto" w:fill="F6F6F6"/>
          </w:tcPr>
          <w:p>
            <w:pPr>
              <w:jc w:val="right"/>
              <w:spacing w:after="0"/>
              <w:rPr>
                <w:sz w:val="20"/>
                <w:szCs w:val="20"/>
                <w:color w:val="auto"/>
              </w:rPr>
            </w:pPr>
            <w:r>
              <w:rPr>
                <w:rFonts w:ascii="Arial" w:cs="Arial" w:eastAsia="Arial" w:hAnsi="Arial"/>
                <w:sz w:val="18"/>
                <w:szCs w:val="18"/>
                <w:color w:val="auto"/>
              </w:rPr>
              <w:t>4,318</w:t>
            </w:r>
          </w:p>
        </w:tc>
        <w:tc>
          <w:tcPr>
            <w:tcW w:w="20" w:type="dxa"/>
            <w:vAlign w:val="bottom"/>
            <w:tcBorders>
              <w:bottom w:val="single" w:sz="8" w:color="F6F6F6"/>
            </w:tcBorders>
            <w:shd w:val="clear" w:color="auto" w:fill="F6F6F6"/>
          </w:tcPr>
          <w:p>
            <w:pPr>
              <w:spacing w:after="0"/>
              <w:rPr>
                <w:sz w:val="21"/>
                <w:szCs w:val="21"/>
                <w:color w:val="auto"/>
              </w:rPr>
            </w:pPr>
          </w:p>
        </w:tc>
        <w:tc>
          <w:tcPr>
            <w:tcW w:w="60" w:type="dxa"/>
            <w:vAlign w:val="bottom"/>
            <w:tcBorders>
              <w:bottom w:val="single" w:sz="8" w:color="F6F6F6"/>
            </w:tcBorders>
            <w:shd w:val="clear" w:color="auto" w:fill="F6F6F6"/>
          </w:tcPr>
          <w:p>
            <w:pPr>
              <w:spacing w:after="0"/>
              <w:rPr>
                <w:sz w:val="21"/>
                <w:szCs w:val="21"/>
                <w:color w:val="auto"/>
              </w:rPr>
            </w:pPr>
          </w:p>
        </w:tc>
        <w:tc>
          <w:tcPr>
            <w:tcW w:w="20" w:type="dxa"/>
            <w:vAlign w:val="bottom"/>
            <w:tcBorders>
              <w:bottom w:val="single" w:sz="8" w:color="F6F6F6"/>
            </w:tcBorders>
            <w:shd w:val="clear" w:color="auto" w:fill="F6F6F6"/>
          </w:tcPr>
          <w:p>
            <w:pPr>
              <w:spacing w:after="0"/>
              <w:rPr>
                <w:sz w:val="21"/>
                <w:szCs w:val="21"/>
                <w:color w:val="auto"/>
              </w:rPr>
            </w:pPr>
          </w:p>
        </w:tc>
        <w:tc>
          <w:tcPr>
            <w:tcW w:w="500" w:type="dxa"/>
            <w:vAlign w:val="bottom"/>
            <w:tcBorders>
              <w:bottom w:val="single" w:sz="8" w:color="F6F6F6"/>
            </w:tcBorders>
            <w:shd w:val="clear" w:color="auto" w:fill="F6F6F6"/>
          </w:tcPr>
          <w:p>
            <w:pPr>
              <w:spacing w:after="0"/>
              <w:rPr>
                <w:sz w:val="21"/>
                <w:szCs w:val="21"/>
                <w:color w:val="auto"/>
              </w:rPr>
            </w:pPr>
          </w:p>
        </w:tc>
        <w:tc>
          <w:tcPr>
            <w:tcW w:w="1360" w:type="dxa"/>
            <w:vAlign w:val="bottom"/>
            <w:tcBorders>
              <w:bottom w:val="single" w:sz="8" w:color="F6F6F6"/>
            </w:tcBorders>
            <w:shd w:val="clear" w:color="auto" w:fill="F6F6F6"/>
          </w:tcPr>
          <w:p>
            <w:pPr>
              <w:jc w:val="right"/>
              <w:spacing w:after="0"/>
              <w:rPr>
                <w:sz w:val="20"/>
                <w:szCs w:val="20"/>
                <w:color w:val="auto"/>
              </w:rPr>
            </w:pPr>
            <w:r>
              <w:rPr>
                <w:rFonts w:ascii="Arial" w:cs="Arial" w:eastAsia="Arial" w:hAnsi="Arial"/>
                <w:sz w:val="18"/>
                <w:szCs w:val="18"/>
                <w:color w:val="auto"/>
              </w:rPr>
              <w:t>3,111</w:t>
            </w:r>
          </w:p>
        </w:tc>
        <w:tc>
          <w:tcPr>
            <w:tcW w:w="0" w:type="dxa"/>
            <w:vAlign w:val="bottom"/>
          </w:tcPr>
          <w:p>
            <w:pPr>
              <w:spacing w:after="0"/>
              <w:rPr>
                <w:sz w:val="1"/>
                <w:szCs w:val="1"/>
                <w:color w:val="auto"/>
              </w:rPr>
            </w:pPr>
          </w:p>
        </w:tc>
      </w:tr>
      <w:tr>
        <w:trPr>
          <w:trHeight w:val="247"/>
        </w:trPr>
        <w:tc>
          <w:tcPr>
            <w:tcW w:w="4320" w:type="dxa"/>
            <w:vAlign w:val="bottom"/>
          </w:tcPr>
          <w:p>
            <w:pPr>
              <w:ind w:left="220"/>
              <w:spacing w:after="0"/>
              <w:rPr>
                <w:sz w:val="20"/>
                <w:szCs w:val="20"/>
                <w:color w:val="auto"/>
              </w:rPr>
            </w:pPr>
            <w:r>
              <w:rPr>
                <w:rFonts w:ascii="Arial" w:cs="Arial" w:eastAsia="Arial" w:hAnsi="Arial"/>
                <w:sz w:val="18"/>
                <w:szCs w:val="18"/>
                <w:color w:val="auto"/>
              </w:rPr>
              <w:t>Other income (expense), net</w:t>
            </w:r>
          </w:p>
        </w:tc>
        <w:tc>
          <w:tcPr>
            <w:tcW w:w="30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1,678</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23"/>
        </w:trPr>
        <w:tc>
          <w:tcPr>
            <w:tcW w:w="4320" w:type="dxa"/>
            <w:vAlign w:val="bottom"/>
          </w:tcPr>
          <w:p>
            <w:pPr>
              <w:spacing w:after="0"/>
              <w:rPr>
                <w:sz w:val="2"/>
                <w:szCs w:val="2"/>
                <w:color w:val="auto"/>
              </w:rPr>
            </w:pPr>
          </w:p>
        </w:tc>
        <w:tc>
          <w:tcPr>
            <w:tcW w:w="3080" w:type="dxa"/>
            <w:vAlign w:val="bottom"/>
          </w:tcPr>
          <w:p>
            <w:pPr>
              <w:spacing w:after="0"/>
              <w:rPr>
                <w:sz w:val="2"/>
                <w:szCs w:val="2"/>
                <w:color w:val="auto"/>
              </w:rPr>
            </w:pPr>
          </w:p>
        </w:tc>
        <w:tc>
          <w:tcPr>
            <w:tcW w:w="460" w:type="dxa"/>
            <w:vAlign w:val="bottom"/>
            <w:gridSpan w:val="2"/>
          </w:tcPr>
          <w:p>
            <w:pPr>
              <w:spacing w:after="0"/>
              <w:rPr>
                <w:sz w:val="2"/>
                <w:szCs w:val="2"/>
                <w:color w:val="auto"/>
              </w:rPr>
            </w:pPr>
          </w:p>
        </w:tc>
        <w:tc>
          <w:tcPr>
            <w:tcW w:w="14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0"/>
        </w:trPr>
        <w:tc>
          <w:tcPr>
            <w:tcW w:w="4320" w:type="dxa"/>
            <w:vAlign w:val="bottom"/>
            <w:shd w:val="clear" w:color="auto" w:fill="F6F6F6"/>
          </w:tcPr>
          <w:p>
            <w:pPr>
              <w:ind w:left="80"/>
              <w:spacing w:after="0"/>
              <w:rPr>
                <w:sz w:val="20"/>
                <w:szCs w:val="20"/>
                <w:color w:val="auto"/>
              </w:rPr>
            </w:pPr>
            <w:r>
              <w:rPr>
                <w:rFonts w:ascii="Arial" w:cs="Arial" w:eastAsia="Arial" w:hAnsi="Arial"/>
                <w:sz w:val="18"/>
                <w:szCs w:val="18"/>
                <w:b w:val="1"/>
                <w:bCs w:val="1"/>
                <w:color w:val="auto"/>
              </w:rPr>
              <w:t>Adjusted income from operations</w:t>
            </w:r>
          </w:p>
        </w:tc>
        <w:tc>
          <w:tcPr>
            <w:tcW w:w="3540" w:type="dxa"/>
            <w:vAlign w:val="bottom"/>
            <w:gridSpan w:val="3"/>
            <w:shd w:val="clear" w:color="auto" w:fill="F6F6F6"/>
          </w:tcPr>
          <w:p>
            <w:pPr>
              <w:jc w:val="right"/>
              <w:ind w:right="340"/>
              <w:spacing w:after="0"/>
              <w:rPr>
                <w:sz w:val="20"/>
                <w:szCs w:val="20"/>
                <w:color w:val="auto"/>
              </w:rPr>
            </w:pPr>
            <w:r>
              <w:rPr>
                <w:rFonts w:ascii="Arial" w:cs="Arial" w:eastAsia="Arial" w:hAnsi="Arial"/>
                <w:sz w:val="18"/>
                <w:szCs w:val="18"/>
                <w:b w:val="1"/>
                <w:bCs w:val="1"/>
                <w:color w:val="auto"/>
              </w:rPr>
              <w:t>$</w:t>
            </w:r>
          </w:p>
        </w:tc>
        <w:tc>
          <w:tcPr>
            <w:tcW w:w="1420" w:type="dxa"/>
            <w:vAlign w:val="bottom"/>
            <w:shd w:val="clear" w:color="auto" w:fill="F6F6F6"/>
          </w:tcPr>
          <w:p>
            <w:pPr>
              <w:jc w:val="right"/>
              <w:spacing w:after="0"/>
              <w:rPr>
                <w:sz w:val="20"/>
                <w:szCs w:val="20"/>
                <w:color w:val="auto"/>
              </w:rPr>
            </w:pPr>
            <w:r>
              <w:rPr>
                <w:rFonts w:ascii="Arial" w:cs="Arial" w:eastAsia="Arial" w:hAnsi="Arial"/>
                <w:sz w:val="18"/>
                <w:szCs w:val="18"/>
                <w:b w:val="1"/>
                <w:bCs w:val="1"/>
                <w:color w:val="auto"/>
              </w:rPr>
              <w:t>209,734</w:t>
            </w:r>
          </w:p>
        </w:tc>
        <w:tc>
          <w:tcPr>
            <w:tcW w:w="20" w:type="dxa"/>
            <w:vAlign w:val="bottom"/>
            <w:shd w:val="clear" w:color="auto" w:fill="F6F6F6"/>
          </w:tcPr>
          <w:p>
            <w:pPr>
              <w:spacing w:after="0"/>
              <w:rPr>
                <w:sz w:val="24"/>
                <w:szCs w:val="24"/>
                <w:color w:val="auto"/>
              </w:rPr>
            </w:pPr>
          </w:p>
        </w:tc>
        <w:tc>
          <w:tcPr>
            <w:tcW w:w="60" w:type="dxa"/>
            <w:vAlign w:val="bottom"/>
            <w:shd w:val="clear" w:color="auto" w:fill="F6F6F6"/>
          </w:tcPr>
          <w:p>
            <w:pPr>
              <w:spacing w:after="0"/>
              <w:rPr>
                <w:sz w:val="24"/>
                <w:szCs w:val="24"/>
                <w:color w:val="auto"/>
              </w:rPr>
            </w:pPr>
          </w:p>
        </w:tc>
        <w:tc>
          <w:tcPr>
            <w:tcW w:w="20" w:type="dxa"/>
            <w:vAlign w:val="bottom"/>
            <w:shd w:val="clear" w:color="auto" w:fill="F6F6F6"/>
          </w:tcPr>
          <w:p>
            <w:pPr>
              <w:spacing w:after="0"/>
              <w:rPr>
                <w:sz w:val="24"/>
                <w:szCs w:val="24"/>
                <w:color w:val="auto"/>
              </w:rPr>
            </w:pPr>
          </w:p>
        </w:tc>
        <w:tc>
          <w:tcPr>
            <w:tcW w:w="500" w:type="dxa"/>
            <w:vAlign w:val="bottom"/>
            <w:shd w:val="clear" w:color="auto" w:fill="F6F6F6"/>
          </w:tcPr>
          <w:p>
            <w:pPr>
              <w:jc w:val="right"/>
              <w:ind w:right="310"/>
              <w:spacing w:after="0"/>
              <w:rPr>
                <w:sz w:val="20"/>
                <w:szCs w:val="20"/>
                <w:color w:val="auto"/>
              </w:rPr>
            </w:pPr>
            <w:r>
              <w:rPr>
                <w:rFonts w:ascii="Arial" w:cs="Arial" w:eastAsia="Arial" w:hAnsi="Arial"/>
                <w:sz w:val="18"/>
                <w:szCs w:val="18"/>
                <w:b w:val="1"/>
                <w:bCs w:val="1"/>
                <w:color w:val="auto"/>
                <w:w w:val="79"/>
              </w:rPr>
              <w:t>$</w:t>
            </w:r>
          </w:p>
        </w:tc>
        <w:tc>
          <w:tcPr>
            <w:tcW w:w="1360" w:type="dxa"/>
            <w:vAlign w:val="bottom"/>
            <w:shd w:val="clear" w:color="auto" w:fill="F6F6F6"/>
          </w:tcPr>
          <w:p>
            <w:pPr>
              <w:jc w:val="right"/>
              <w:spacing w:after="0"/>
              <w:rPr>
                <w:sz w:val="20"/>
                <w:szCs w:val="20"/>
                <w:color w:val="auto"/>
              </w:rPr>
            </w:pPr>
            <w:r>
              <w:rPr>
                <w:rFonts w:ascii="Arial" w:cs="Arial" w:eastAsia="Arial" w:hAnsi="Arial"/>
                <w:sz w:val="18"/>
                <w:szCs w:val="18"/>
                <w:b w:val="1"/>
                <w:bCs w:val="1"/>
                <w:color w:val="auto"/>
              </w:rPr>
              <w:t>223,678</w:t>
            </w:r>
          </w:p>
        </w:tc>
        <w:tc>
          <w:tcPr>
            <w:tcW w:w="0" w:type="dxa"/>
            <w:vAlign w:val="bottom"/>
          </w:tcPr>
          <w:p>
            <w:pPr>
              <w:spacing w:after="0"/>
              <w:rPr>
                <w:sz w:val="1"/>
                <w:szCs w:val="1"/>
                <w:color w:val="auto"/>
              </w:rPr>
            </w:pPr>
          </w:p>
        </w:tc>
      </w:tr>
      <w:tr>
        <w:trPr>
          <w:trHeight w:val="20"/>
        </w:trPr>
        <w:tc>
          <w:tcPr>
            <w:tcW w:w="4320" w:type="dxa"/>
            <w:vAlign w:val="bottom"/>
            <w:tcBorders>
              <w:top w:val="single" w:sz="8" w:color="F6F6F6"/>
              <w:bottom w:val="single" w:sz="8" w:color="F6F6F6"/>
            </w:tcBorders>
            <w:vMerge w:val="restart"/>
          </w:tcPr>
          <w:p>
            <w:pPr>
              <w:ind w:left="80"/>
              <w:spacing w:after="0"/>
              <w:rPr>
                <w:sz w:val="20"/>
                <w:szCs w:val="20"/>
                <w:color w:val="auto"/>
              </w:rPr>
            </w:pPr>
            <w:r>
              <w:rPr>
                <w:rFonts w:ascii="Arial" w:cs="Arial" w:eastAsia="Arial" w:hAnsi="Arial"/>
                <w:sz w:val="18"/>
                <w:szCs w:val="18"/>
                <w:color w:val="auto"/>
              </w:rPr>
              <w:t>Income from operations margin</w:t>
            </w:r>
          </w:p>
        </w:tc>
        <w:tc>
          <w:tcPr>
            <w:tcW w:w="3080" w:type="dxa"/>
            <w:vAlign w:val="bottom"/>
            <w:tcBorders>
              <w:top w:val="single" w:sz="8" w:color="F6F6F6"/>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F6F6F6"/>
            </w:tcBorders>
          </w:tcPr>
          <w:p>
            <w:pPr>
              <w:spacing w:after="0" w:line="20" w:lineRule="exact"/>
              <w:rPr>
                <w:sz w:val="1"/>
                <w:szCs w:val="1"/>
                <w:color w:val="auto"/>
              </w:rPr>
            </w:pPr>
          </w:p>
        </w:tc>
        <w:tc>
          <w:tcPr>
            <w:tcW w:w="60" w:type="dxa"/>
            <w:vAlign w:val="bottom"/>
            <w:tcBorders>
              <w:top w:val="single" w:sz="8" w:color="F6F6F6"/>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320" w:type="dxa"/>
            <w:vAlign w:val="bottom"/>
            <w:vMerge w:val="continue"/>
          </w:tcPr>
          <w:p>
            <w:pPr>
              <w:spacing w:after="0"/>
              <w:rPr>
                <w:sz w:val="19"/>
                <w:szCs w:val="19"/>
                <w:color w:val="auto"/>
              </w:rPr>
            </w:pPr>
          </w:p>
        </w:tc>
        <w:tc>
          <w:tcPr>
            <w:tcW w:w="30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15.1 %</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15.3 %</w:t>
            </w:r>
          </w:p>
        </w:tc>
        <w:tc>
          <w:tcPr>
            <w:tcW w:w="0" w:type="dxa"/>
            <w:vAlign w:val="bottom"/>
          </w:tcPr>
          <w:p>
            <w:pPr>
              <w:spacing w:after="0"/>
              <w:rPr>
                <w:sz w:val="1"/>
                <w:szCs w:val="1"/>
                <w:color w:val="auto"/>
              </w:rPr>
            </w:pPr>
          </w:p>
        </w:tc>
      </w:tr>
      <w:tr>
        <w:trPr>
          <w:trHeight w:val="23"/>
        </w:trPr>
        <w:tc>
          <w:tcPr>
            <w:tcW w:w="4320" w:type="dxa"/>
            <w:vAlign w:val="bottom"/>
            <w:tcBorders>
              <w:bottom w:val="single" w:sz="8" w:color="F6F6F6"/>
            </w:tcBorders>
          </w:tcPr>
          <w:p>
            <w:pPr>
              <w:spacing w:after="0"/>
              <w:rPr>
                <w:sz w:val="2"/>
                <w:szCs w:val="2"/>
                <w:color w:val="auto"/>
              </w:rPr>
            </w:pPr>
          </w:p>
        </w:tc>
        <w:tc>
          <w:tcPr>
            <w:tcW w:w="3080" w:type="dxa"/>
            <w:vAlign w:val="bottom"/>
            <w:tcBorders>
              <w:bottom w:val="single" w:sz="8" w:color="F6F6F6"/>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0" w:type="dxa"/>
            <w:vAlign w:val="bottom"/>
            <w:tcBorders>
              <w:bottom w:val="single" w:sz="8" w:color="F6F6F6"/>
            </w:tcBorders>
          </w:tcPr>
          <w:p>
            <w:pPr>
              <w:spacing w:after="0"/>
              <w:rPr>
                <w:sz w:val="2"/>
                <w:szCs w:val="2"/>
                <w:color w:val="auto"/>
              </w:rPr>
            </w:pPr>
          </w:p>
        </w:tc>
        <w:tc>
          <w:tcPr>
            <w:tcW w:w="60" w:type="dxa"/>
            <w:vAlign w:val="bottom"/>
            <w:tcBorders>
              <w:bottom w:val="single" w:sz="8" w:color="F6F6F6"/>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4320" w:type="dxa"/>
            <w:vAlign w:val="bottom"/>
            <w:tcBorders>
              <w:bottom w:val="single" w:sz="8" w:color="F6F6F6"/>
            </w:tcBorders>
            <w:shd w:val="clear" w:color="auto" w:fill="F6F6F6"/>
          </w:tcPr>
          <w:p>
            <w:pPr>
              <w:ind w:left="80"/>
              <w:spacing w:after="0"/>
              <w:rPr>
                <w:sz w:val="20"/>
                <w:szCs w:val="20"/>
                <w:color w:val="auto"/>
              </w:rPr>
            </w:pPr>
            <w:r>
              <w:rPr>
                <w:rFonts w:ascii="Arial" w:cs="Arial" w:eastAsia="Arial" w:hAnsi="Arial"/>
                <w:sz w:val="18"/>
                <w:szCs w:val="18"/>
                <w:b w:val="1"/>
                <w:bCs w:val="1"/>
                <w:color w:val="auto"/>
              </w:rPr>
              <w:t>Adjusted income from operations margin</w:t>
            </w:r>
          </w:p>
        </w:tc>
        <w:tc>
          <w:tcPr>
            <w:tcW w:w="3080" w:type="dxa"/>
            <w:vAlign w:val="bottom"/>
            <w:tcBorders>
              <w:bottom w:val="single" w:sz="8" w:color="F6F6F6"/>
            </w:tcBorders>
            <w:shd w:val="clear" w:color="auto" w:fill="F6F6F6"/>
          </w:tcPr>
          <w:p>
            <w:pPr>
              <w:spacing w:after="0"/>
              <w:rPr>
                <w:sz w:val="24"/>
                <w:szCs w:val="24"/>
                <w:color w:val="auto"/>
              </w:rPr>
            </w:pPr>
          </w:p>
        </w:tc>
        <w:tc>
          <w:tcPr>
            <w:tcW w:w="40" w:type="dxa"/>
            <w:vAlign w:val="bottom"/>
            <w:tcBorders>
              <w:bottom w:val="single" w:sz="8" w:color="auto"/>
            </w:tcBorders>
            <w:shd w:val="clear" w:color="auto" w:fill="F6F6F6"/>
          </w:tcPr>
          <w:p>
            <w:pPr>
              <w:spacing w:after="0"/>
              <w:rPr>
                <w:sz w:val="24"/>
                <w:szCs w:val="24"/>
                <w:color w:val="auto"/>
              </w:rPr>
            </w:pPr>
          </w:p>
        </w:tc>
        <w:tc>
          <w:tcPr>
            <w:tcW w:w="420" w:type="dxa"/>
            <w:vAlign w:val="bottom"/>
            <w:tcBorders>
              <w:bottom w:val="single" w:sz="8" w:color="auto"/>
            </w:tcBorders>
            <w:shd w:val="clear" w:color="auto" w:fill="F6F6F6"/>
          </w:tcPr>
          <w:p>
            <w:pPr>
              <w:spacing w:after="0"/>
              <w:rPr>
                <w:sz w:val="24"/>
                <w:szCs w:val="24"/>
                <w:color w:val="auto"/>
              </w:rPr>
            </w:pPr>
          </w:p>
        </w:tc>
        <w:tc>
          <w:tcPr>
            <w:tcW w:w="1420" w:type="dxa"/>
            <w:vAlign w:val="bottom"/>
            <w:tcBorders>
              <w:bottom w:val="single" w:sz="8" w:color="auto"/>
            </w:tcBorders>
            <w:shd w:val="clear" w:color="auto" w:fill="F6F6F6"/>
          </w:tcPr>
          <w:p>
            <w:pPr>
              <w:jc w:val="right"/>
              <w:spacing w:after="0"/>
              <w:rPr>
                <w:sz w:val="20"/>
                <w:szCs w:val="20"/>
                <w:color w:val="auto"/>
              </w:rPr>
            </w:pPr>
            <w:r>
              <w:rPr>
                <w:rFonts w:ascii="Arial" w:cs="Arial" w:eastAsia="Arial" w:hAnsi="Arial"/>
                <w:sz w:val="18"/>
                <w:szCs w:val="18"/>
                <w:b w:val="1"/>
                <w:bCs w:val="1"/>
                <w:color w:val="auto"/>
              </w:rPr>
              <w:t>17.3 %</w:t>
            </w:r>
          </w:p>
        </w:tc>
        <w:tc>
          <w:tcPr>
            <w:tcW w:w="20" w:type="dxa"/>
            <w:vAlign w:val="bottom"/>
            <w:tcBorders>
              <w:bottom w:val="single" w:sz="8" w:color="F6F6F6"/>
            </w:tcBorders>
            <w:shd w:val="clear" w:color="auto" w:fill="F6F6F6"/>
          </w:tcPr>
          <w:p>
            <w:pPr>
              <w:spacing w:after="0"/>
              <w:rPr>
                <w:sz w:val="24"/>
                <w:szCs w:val="24"/>
                <w:color w:val="auto"/>
              </w:rPr>
            </w:pPr>
          </w:p>
        </w:tc>
        <w:tc>
          <w:tcPr>
            <w:tcW w:w="60" w:type="dxa"/>
            <w:vAlign w:val="bottom"/>
            <w:tcBorders>
              <w:bottom w:val="single" w:sz="8" w:color="F6F6F6"/>
            </w:tcBorders>
            <w:shd w:val="clear" w:color="auto" w:fill="F6F6F6"/>
          </w:tcPr>
          <w:p>
            <w:pPr>
              <w:spacing w:after="0"/>
              <w:rPr>
                <w:sz w:val="24"/>
                <w:szCs w:val="24"/>
                <w:color w:val="auto"/>
              </w:rPr>
            </w:pPr>
          </w:p>
        </w:tc>
        <w:tc>
          <w:tcPr>
            <w:tcW w:w="20" w:type="dxa"/>
            <w:vAlign w:val="bottom"/>
            <w:tcBorders>
              <w:bottom w:val="single" w:sz="8" w:color="auto"/>
            </w:tcBorders>
            <w:shd w:val="clear" w:color="auto" w:fill="F6F6F6"/>
          </w:tcPr>
          <w:p>
            <w:pPr>
              <w:spacing w:after="0"/>
              <w:rPr>
                <w:sz w:val="24"/>
                <w:szCs w:val="24"/>
                <w:color w:val="auto"/>
              </w:rPr>
            </w:pPr>
          </w:p>
        </w:tc>
        <w:tc>
          <w:tcPr>
            <w:tcW w:w="500" w:type="dxa"/>
            <w:vAlign w:val="bottom"/>
            <w:tcBorders>
              <w:bottom w:val="single" w:sz="8" w:color="auto"/>
            </w:tcBorders>
            <w:shd w:val="clear" w:color="auto" w:fill="F6F6F6"/>
          </w:tcPr>
          <w:p>
            <w:pPr>
              <w:spacing w:after="0"/>
              <w:rPr>
                <w:sz w:val="24"/>
                <w:szCs w:val="24"/>
                <w:color w:val="auto"/>
              </w:rPr>
            </w:pPr>
          </w:p>
        </w:tc>
        <w:tc>
          <w:tcPr>
            <w:tcW w:w="1360" w:type="dxa"/>
            <w:vAlign w:val="bottom"/>
            <w:tcBorders>
              <w:bottom w:val="single" w:sz="8" w:color="auto"/>
            </w:tcBorders>
            <w:shd w:val="clear" w:color="auto" w:fill="F6F6F6"/>
          </w:tcPr>
          <w:p>
            <w:pPr>
              <w:jc w:val="right"/>
              <w:spacing w:after="0"/>
              <w:rPr>
                <w:sz w:val="20"/>
                <w:szCs w:val="20"/>
                <w:color w:val="auto"/>
              </w:rPr>
            </w:pPr>
            <w:r>
              <w:rPr>
                <w:rFonts w:ascii="Arial" w:cs="Arial" w:eastAsia="Arial" w:hAnsi="Arial"/>
                <w:sz w:val="18"/>
                <w:szCs w:val="18"/>
                <w:b w:val="1"/>
                <w:bCs w:val="1"/>
                <w:color w:val="auto"/>
              </w:rPr>
              <w:t>17.3 %</w:t>
            </w:r>
          </w:p>
        </w:tc>
        <w:tc>
          <w:tcPr>
            <w:tcW w:w="0" w:type="dxa"/>
            <w:vAlign w:val="bottom"/>
          </w:tcPr>
          <w:p>
            <w:pPr>
              <w:spacing w:after="0"/>
              <w:rPr>
                <w:sz w:val="1"/>
                <w:szCs w:val="1"/>
                <w:color w:val="auto"/>
              </w:rPr>
            </w:pPr>
          </w:p>
        </w:tc>
      </w:tr>
      <w:tr>
        <w:trPr>
          <w:trHeight w:val="20"/>
        </w:trPr>
        <w:tc>
          <w:tcPr>
            <w:tcW w:w="4320" w:type="dxa"/>
            <w:vAlign w:val="bottom"/>
            <w:tcBorders>
              <w:top w:val="single" w:sz="8" w:color="F6F6F6"/>
            </w:tcBorders>
          </w:tcPr>
          <w:p>
            <w:pPr>
              <w:spacing w:after="0" w:line="20" w:lineRule="exact"/>
              <w:rPr>
                <w:sz w:val="1"/>
                <w:szCs w:val="1"/>
                <w:color w:val="auto"/>
              </w:rPr>
            </w:pPr>
          </w:p>
        </w:tc>
        <w:tc>
          <w:tcPr>
            <w:tcW w:w="3080" w:type="dxa"/>
            <w:vAlign w:val="bottom"/>
            <w:tcBorders>
              <w:top w:val="single" w:sz="8" w:color="F6F6F6"/>
            </w:tcBorders>
          </w:tcPr>
          <w:p>
            <w:pPr>
              <w:spacing w:after="0" w:line="20" w:lineRule="exact"/>
              <w:rPr>
                <w:sz w:val="1"/>
                <w:szCs w:val="1"/>
                <w:color w:val="auto"/>
              </w:rPr>
            </w:pPr>
          </w:p>
        </w:tc>
        <w:tc>
          <w:tcPr>
            <w:tcW w:w="40" w:type="dxa"/>
            <w:vAlign w:val="bottom"/>
            <w:tcBorders>
              <w:top w:val="single" w:sz="8" w:color="F6F6F6"/>
              <w:bottom w:val="single" w:sz="8" w:color="auto"/>
            </w:tcBorders>
          </w:tcPr>
          <w:p>
            <w:pPr>
              <w:spacing w:after="0" w:line="20" w:lineRule="exact"/>
              <w:rPr>
                <w:sz w:val="1"/>
                <w:szCs w:val="1"/>
                <w:color w:val="auto"/>
              </w:rPr>
            </w:pPr>
          </w:p>
        </w:tc>
        <w:tc>
          <w:tcPr>
            <w:tcW w:w="420" w:type="dxa"/>
            <w:vAlign w:val="bottom"/>
            <w:tcBorders>
              <w:top w:val="single" w:sz="8" w:color="F6F6F6"/>
              <w:bottom w:val="single" w:sz="8" w:color="auto"/>
            </w:tcBorders>
          </w:tcPr>
          <w:p>
            <w:pPr>
              <w:spacing w:after="0" w:line="20" w:lineRule="exact"/>
              <w:rPr>
                <w:sz w:val="1"/>
                <w:szCs w:val="1"/>
                <w:color w:val="auto"/>
              </w:rPr>
            </w:pPr>
          </w:p>
        </w:tc>
        <w:tc>
          <w:tcPr>
            <w:tcW w:w="1420" w:type="dxa"/>
            <w:vAlign w:val="bottom"/>
            <w:tcBorders>
              <w:top w:val="single" w:sz="8" w:color="F6F6F6"/>
              <w:bottom w:val="single" w:sz="8" w:color="auto"/>
            </w:tcBorders>
          </w:tcPr>
          <w:p>
            <w:pPr>
              <w:spacing w:after="0" w:line="20" w:lineRule="exact"/>
              <w:rPr>
                <w:sz w:val="1"/>
                <w:szCs w:val="1"/>
                <w:color w:val="auto"/>
              </w:rPr>
            </w:pPr>
          </w:p>
        </w:tc>
        <w:tc>
          <w:tcPr>
            <w:tcW w:w="20" w:type="dxa"/>
            <w:vAlign w:val="bottom"/>
            <w:tcBorders>
              <w:top w:val="single" w:sz="8" w:color="F6F6F6"/>
            </w:tcBorders>
          </w:tcPr>
          <w:p>
            <w:pPr>
              <w:spacing w:after="0" w:line="20" w:lineRule="exact"/>
              <w:rPr>
                <w:sz w:val="1"/>
                <w:szCs w:val="1"/>
                <w:color w:val="auto"/>
              </w:rPr>
            </w:pPr>
          </w:p>
        </w:tc>
        <w:tc>
          <w:tcPr>
            <w:tcW w:w="60" w:type="dxa"/>
            <w:vAlign w:val="bottom"/>
            <w:tcBorders>
              <w:top w:val="single" w:sz="8" w:color="F6F6F6"/>
            </w:tcBorders>
          </w:tcPr>
          <w:p>
            <w:pPr>
              <w:spacing w:after="0" w:line="20" w:lineRule="exact"/>
              <w:rPr>
                <w:sz w:val="1"/>
                <w:szCs w:val="1"/>
                <w:color w:val="auto"/>
              </w:rPr>
            </w:pPr>
          </w:p>
        </w:tc>
        <w:tc>
          <w:tcPr>
            <w:tcW w:w="20" w:type="dxa"/>
            <w:vAlign w:val="bottom"/>
            <w:tcBorders>
              <w:top w:val="single" w:sz="8" w:color="F6F6F6"/>
              <w:bottom w:val="single" w:sz="8" w:color="auto"/>
            </w:tcBorders>
          </w:tcPr>
          <w:p>
            <w:pPr>
              <w:spacing w:after="0" w:line="20" w:lineRule="exact"/>
              <w:rPr>
                <w:sz w:val="1"/>
                <w:szCs w:val="1"/>
                <w:color w:val="auto"/>
              </w:rPr>
            </w:pPr>
          </w:p>
        </w:tc>
        <w:tc>
          <w:tcPr>
            <w:tcW w:w="500" w:type="dxa"/>
            <w:vAlign w:val="bottom"/>
            <w:tcBorders>
              <w:top w:val="single" w:sz="8" w:color="F6F6F6"/>
              <w:bottom w:val="single" w:sz="8" w:color="auto"/>
            </w:tcBorders>
          </w:tcPr>
          <w:p>
            <w:pPr>
              <w:spacing w:after="0" w:line="20" w:lineRule="exact"/>
              <w:rPr>
                <w:sz w:val="1"/>
                <w:szCs w:val="1"/>
                <w:color w:val="auto"/>
              </w:rPr>
            </w:pPr>
          </w:p>
        </w:tc>
        <w:tc>
          <w:tcPr>
            <w:tcW w:w="1360" w:type="dxa"/>
            <w:vAlign w:val="bottom"/>
            <w:tcBorders>
              <w:top w:val="single" w:sz="8" w:color="F6F6F6"/>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40"/>
          </w:cols>
          <w:pgMar w:left="320" w:top="688"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Reconciliation of Diluted EPS to Adjusted Diluted EPS</w:t>
      </w:r>
      <w:r>
        <w:rPr>
          <w:rFonts w:ascii="Arial" w:cs="Arial" w:eastAsia="Arial" w:hAnsi="Arial"/>
          <w:sz w:val="23"/>
          <w:szCs w:val="23"/>
          <w:b w:val="1"/>
          <w:bCs w:val="1"/>
          <w:color w:val="auto"/>
          <w:vertAlign w:val="superscript"/>
        </w:rPr>
        <w:t>6</w:t>
      </w:r>
    </w:p>
    <w:p>
      <w:pPr>
        <w:jc w:val="center"/>
        <w:ind w:right="40"/>
        <w:spacing w:after="0"/>
        <w:rPr>
          <w:sz w:val="20"/>
          <w:szCs w:val="20"/>
          <w:color w:val="auto"/>
        </w:rPr>
      </w:pPr>
      <w:r>
        <w:rPr>
          <w:rFonts w:ascii="Arial" w:cs="Arial" w:eastAsia="Arial" w:hAnsi="Arial"/>
          <w:sz w:val="18"/>
          <w:szCs w:val="18"/>
          <w:color w:val="auto"/>
        </w:rPr>
        <w:t>(Per share data)</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640" w:type="dxa"/>
            <w:vAlign w:val="bottom"/>
          </w:tcPr>
          <w:p>
            <w:pPr>
              <w:spacing w:after="0"/>
              <w:rPr>
                <w:sz w:val="17"/>
                <w:szCs w:val="17"/>
                <w:color w:val="auto"/>
              </w:rPr>
            </w:pPr>
          </w:p>
        </w:tc>
        <w:tc>
          <w:tcPr>
            <w:tcW w:w="2980" w:type="dxa"/>
            <w:vAlign w:val="bottom"/>
            <w:tcBorders>
              <w:bottom w:val="single" w:sz="8" w:color="auto"/>
            </w:tcBorders>
            <w:gridSpan w:val="4"/>
          </w:tcPr>
          <w:p>
            <w:pPr>
              <w:jc w:val="right"/>
              <w:ind w:right="36"/>
              <w:spacing w:after="0"/>
              <w:rPr>
                <w:sz w:val="20"/>
                <w:szCs w:val="20"/>
                <w:color w:val="auto"/>
              </w:rPr>
            </w:pPr>
            <w:r>
              <w:rPr>
                <w:rFonts w:ascii="Arial" w:cs="Arial" w:eastAsia="Arial" w:hAnsi="Arial"/>
                <w:sz w:val="14"/>
                <w:szCs w:val="14"/>
                <w:b w:val="1"/>
                <w:bCs w:val="1"/>
                <w:color w:val="auto"/>
              </w:rPr>
              <w:t>Three months ended March 31,</w:t>
            </w:r>
          </w:p>
        </w:tc>
        <w:tc>
          <w:tcPr>
            <w:tcW w:w="620" w:type="dxa"/>
            <w:vAlign w:val="bottom"/>
            <w:tcBorders>
              <w:bottom w:val="single" w:sz="8" w:color="auto"/>
            </w:tcBorders>
          </w:tcPr>
          <w:p>
            <w:pPr>
              <w:spacing w:after="0"/>
              <w:rPr>
                <w:sz w:val="17"/>
                <w:szCs w:val="17"/>
                <w:color w:val="auto"/>
              </w:rPr>
            </w:pPr>
          </w:p>
        </w:tc>
      </w:tr>
      <w:tr>
        <w:trPr>
          <w:trHeight w:val="223"/>
        </w:trPr>
        <w:tc>
          <w:tcPr>
            <w:tcW w:w="7640" w:type="dxa"/>
            <w:vAlign w:val="bottom"/>
            <w:tcBorders>
              <w:bottom w:val="single" w:sz="8" w:color="F6F6F6"/>
            </w:tcBorders>
          </w:tcPr>
          <w:p>
            <w:pPr>
              <w:spacing w:after="0"/>
              <w:rPr>
                <w:sz w:val="19"/>
                <w:szCs w:val="19"/>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2025</w:t>
            </w:r>
          </w:p>
        </w:tc>
        <w:tc>
          <w:tcPr>
            <w:tcW w:w="620" w:type="dxa"/>
            <w:vAlign w:val="bottom"/>
            <w:tcBorders>
              <w:bottom w:val="single" w:sz="8" w:color="auto"/>
            </w:tcBorders>
          </w:tcPr>
          <w:p>
            <w:pPr>
              <w:spacing w:after="0"/>
              <w:rPr>
                <w:sz w:val="19"/>
                <w:szCs w:val="19"/>
                <w:color w:val="auto"/>
              </w:rPr>
            </w:pPr>
          </w:p>
        </w:tc>
        <w:tc>
          <w:tcPr>
            <w:tcW w:w="80" w:type="dxa"/>
            <w:vAlign w:val="bottom"/>
            <w:tcBorders>
              <w:bottom w:val="single" w:sz="8" w:color="F6F6F6"/>
            </w:tcBorders>
          </w:tcPr>
          <w:p>
            <w:pPr>
              <w:spacing w:after="0"/>
              <w:rPr>
                <w:sz w:val="19"/>
                <w:szCs w:val="19"/>
                <w:color w:val="auto"/>
              </w:rPr>
            </w:pPr>
          </w:p>
        </w:tc>
        <w:tc>
          <w:tcPr>
            <w:tcW w:w="114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2026</w:t>
            </w:r>
          </w:p>
        </w:tc>
        <w:tc>
          <w:tcPr>
            <w:tcW w:w="620" w:type="dxa"/>
            <w:vAlign w:val="bottom"/>
            <w:tcBorders>
              <w:bottom w:val="single" w:sz="8" w:color="auto"/>
            </w:tcBorders>
          </w:tcPr>
          <w:p>
            <w:pPr>
              <w:spacing w:after="0"/>
              <w:rPr>
                <w:sz w:val="19"/>
                <w:szCs w:val="19"/>
                <w:color w:val="auto"/>
              </w:rPr>
            </w:pPr>
          </w:p>
        </w:tc>
      </w:tr>
      <w:tr>
        <w:trPr>
          <w:trHeight w:val="270"/>
        </w:trPr>
        <w:tc>
          <w:tcPr>
            <w:tcW w:w="7640" w:type="dxa"/>
            <w:vAlign w:val="bottom"/>
            <w:shd w:val="clear" w:color="auto" w:fill="F6F6F6"/>
          </w:tcPr>
          <w:p>
            <w:pPr>
              <w:ind w:left="80"/>
              <w:spacing w:after="0"/>
              <w:rPr>
                <w:sz w:val="20"/>
                <w:szCs w:val="20"/>
                <w:color w:val="auto"/>
              </w:rPr>
            </w:pPr>
            <w:r>
              <w:rPr>
                <w:rFonts w:ascii="Arial" w:cs="Arial" w:eastAsia="Arial" w:hAnsi="Arial"/>
                <w:sz w:val="18"/>
                <w:szCs w:val="18"/>
                <w:b w:val="1"/>
                <w:bCs w:val="1"/>
                <w:color w:val="auto"/>
              </w:rPr>
              <w:t>Diluted EPS</w:t>
            </w:r>
          </w:p>
        </w:tc>
        <w:tc>
          <w:tcPr>
            <w:tcW w:w="1140" w:type="dxa"/>
            <w:vAlign w:val="bottom"/>
            <w:shd w:val="clear" w:color="auto" w:fill="F6F6F6"/>
          </w:tcPr>
          <w:p>
            <w:pPr>
              <w:jc w:val="right"/>
              <w:ind w:right="939"/>
              <w:spacing w:after="0"/>
              <w:rPr>
                <w:sz w:val="20"/>
                <w:szCs w:val="20"/>
                <w:color w:val="auto"/>
              </w:rPr>
            </w:pPr>
            <w:r>
              <w:rPr>
                <w:rFonts w:ascii="Arial" w:cs="Arial" w:eastAsia="Arial" w:hAnsi="Arial"/>
                <w:sz w:val="18"/>
                <w:szCs w:val="18"/>
                <w:b w:val="1"/>
                <w:bCs w:val="1"/>
                <w:color w:val="auto"/>
                <w:w w:val="99"/>
              </w:rPr>
              <w:t>$</w:t>
            </w:r>
          </w:p>
        </w:tc>
        <w:tc>
          <w:tcPr>
            <w:tcW w:w="620" w:type="dxa"/>
            <w:vAlign w:val="bottom"/>
            <w:shd w:val="clear" w:color="auto" w:fill="F6F6F6"/>
          </w:tcPr>
          <w:p>
            <w:pPr>
              <w:jc w:val="right"/>
              <w:spacing w:after="0"/>
              <w:rPr>
                <w:sz w:val="20"/>
                <w:szCs w:val="20"/>
                <w:color w:val="auto"/>
              </w:rPr>
            </w:pPr>
            <w:r>
              <w:rPr>
                <w:rFonts w:ascii="Arial" w:cs="Arial" w:eastAsia="Arial" w:hAnsi="Arial"/>
                <w:sz w:val="18"/>
                <w:szCs w:val="18"/>
                <w:b w:val="1"/>
                <w:bCs w:val="1"/>
                <w:color w:val="auto"/>
              </w:rPr>
              <w:t>0.73</w:t>
            </w:r>
          </w:p>
        </w:tc>
        <w:tc>
          <w:tcPr>
            <w:tcW w:w="80" w:type="dxa"/>
            <w:vAlign w:val="bottom"/>
            <w:shd w:val="clear" w:color="auto" w:fill="F6F6F6"/>
          </w:tcPr>
          <w:p>
            <w:pPr>
              <w:spacing w:after="0"/>
              <w:rPr>
                <w:sz w:val="23"/>
                <w:szCs w:val="23"/>
                <w:color w:val="auto"/>
              </w:rPr>
            </w:pPr>
          </w:p>
        </w:tc>
        <w:tc>
          <w:tcPr>
            <w:tcW w:w="1140" w:type="dxa"/>
            <w:vAlign w:val="bottom"/>
            <w:shd w:val="clear" w:color="auto" w:fill="F6F6F6"/>
          </w:tcPr>
          <w:p>
            <w:pPr>
              <w:jc w:val="right"/>
              <w:ind w:right="936"/>
              <w:spacing w:after="0"/>
              <w:rPr>
                <w:sz w:val="20"/>
                <w:szCs w:val="20"/>
                <w:color w:val="auto"/>
              </w:rPr>
            </w:pPr>
            <w:r>
              <w:rPr>
                <w:rFonts w:ascii="Arial" w:cs="Arial" w:eastAsia="Arial" w:hAnsi="Arial"/>
                <w:sz w:val="18"/>
                <w:szCs w:val="18"/>
                <w:b w:val="1"/>
                <w:bCs w:val="1"/>
                <w:color w:val="auto"/>
                <w:w w:val="99"/>
              </w:rPr>
              <w:t>$</w:t>
            </w:r>
          </w:p>
        </w:tc>
        <w:tc>
          <w:tcPr>
            <w:tcW w:w="620" w:type="dxa"/>
            <w:vAlign w:val="bottom"/>
            <w:shd w:val="clear" w:color="auto" w:fill="F6F6F6"/>
          </w:tcPr>
          <w:p>
            <w:pPr>
              <w:jc w:val="right"/>
              <w:spacing w:after="0"/>
              <w:rPr>
                <w:sz w:val="20"/>
                <w:szCs w:val="20"/>
                <w:color w:val="auto"/>
              </w:rPr>
            </w:pPr>
            <w:r>
              <w:rPr>
                <w:rFonts w:ascii="Arial" w:cs="Arial" w:eastAsia="Arial" w:hAnsi="Arial"/>
                <w:sz w:val="18"/>
                <w:szCs w:val="18"/>
                <w:b w:val="1"/>
                <w:bCs w:val="1"/>
                <w:color w:val="auto"/>
              </w:rPr>
              <w:t>0.86</w:t>
            </w:r>
          </w:p>
        </w:tc>
      </w:tr>
      <w:tr>
        <w:trPr>
          <w:trHeight w:val="247"/>
        </w:trPr>
        <w:tc>
          <w:tcPr>
            <w:tcW w:w="7640" w:type="dxa"/>
            <w:vAlign w:val="bottom"/>
          </w:tcPr>
          <w:p>
            <w:pPr>
              <w:ind w:left="220"/>
              <w:spacing w:after="0"/>
              <w:rPr>
                <w:sz w:val="20"/>
                <w:szCs w:val="20"/>
                <w:color w:val="auto"/>
              </w:rPr>
            </w:pPr>
            <w:r>
              <w:rPr>
                <w:rFonts w:ascii="Arial" w:cs="Arial" w:eastAsia="Arial" w:hAnsi="Arial"/>
                <w:sz w:val="18"/>
                <w:szCs w:val="18"/>
                <w:color w:val="auto"/>
              </w:rPr>
              <w:t>Stock-based compensation expense</w:t>
            </w:r>
          </w:p>
        </w:tc>
        <w:tc>
          <w:tcPr>
            <w:tcW w:w="11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0.11</w:t>
            </w:r>
          </w:p>
        </w:tc>
        <w:tc>
          <w:tcPr>
            <w:tcW w:w="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0.13</w:t>
            </w:r>
          </w:p>
        </w:tc>
      </w:tr>
      <w:tr>
        <w:trPr>
          <w:trHeight w:val="23"/>
        </w:trPr>
        <w:tc>
          <w:tcPr>
            <w:tcW w:w="76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7640" w:type="dxa"/>
            <w:vAlign w:val="bottom"/>
            <w:tcBorders>
              <w:bottom w:val="single" w:sz="8" w:color="F6F6F6"/>
            </w:tcBorders>
            <w:shd w:val="clear" w:color="auto" w:fill="F6F6F6"/>
          </w:tcPr>
          <w:p>
            <w:pPr>
              <w:ind w:left="220"/>
              <w:spacing w:after="0"/>
              <w:rPr>
                <w:sz w:val="20"/>
                <w:szCs w:val="20"/>
                <w:color w:val="auto"/>
              </w:rPr>
            </w:pPr>
            <w:r>
              <w:rPr>
                <w:rFonts w:ascii="Arial" w:cs="Arial" w:eastAsia="Arial" w:hAnsi="Arial"/>
                <w:sz w:val="18"/>
                <w:szCs w:val="18"/>
                <w:color w:val="auto"/>
              </w:rPr>
              <w:t>Amortization of acquired intangible assets</w:t>
            </w:r>
          </w:p>
        </w:tc>
        <w:tc>
          <w:tcPr>
            <w:tcW w:w="1140" w:type="dxa"/>
            <w:vAlign w:val="bottom"/>
            <w:tcBorders>
              <w:bottom w:val="single" w:sz="8" w:color="F6F6F6"/>
            </w:tcBorders>
            <w:shd w:val="clear" w:color="auto" w:fill="F6F6F6"/>
          </w:tcPr>
          <w:p>
            <w:pPr>
              <w:spacing w:after="0"/>
              <w:rPr>
                <w:sz w:val="21"/>
                <w:szCs w:val="21"/>
                <w:color w:val="auto"/>
              </w:rPr>
            </w:pPr>
          </w:p>
        </w:tc>
        <w:tc>
          <w:tcPr>
            <w:tcW w:w="620" w:type="dxa"/>
            <w:vAlign w:val="bottom"/>
            <w:tcBorders>
              <w:bottom w:val="single" w:sz="8" w:color="F6F6F6"/>
            </w:tcBorders>
            <w:shd w:val="clear" w:color="auto" w:fill="F6F6F6"/>
          </w:tcPr>
          <w:p>
            <w:pPr>
              <w:jc w:val="right"/>
              <w:spacing w:after="0"/>
              <w:rPr>
                <w:sz w:val="20"/>
                <w:szCs w:val="20"/>
                <w:color w:val="auto"/>
              </w:rPr>
            </w:pPr>
            <w:r>
              <w:rPr>
                <w:rFonts w:ascii="Arial" w:cs="Arial" w:eastAsia="Arial" w:hAnsi="Arial"/>
                <w:sz w:val="18"/>
                <w:szCs w:val="18"/>
                <w:color w:val="auto"/>
              </w:rPr>
              <w:t>0.02</w:t>
            </w:r>
          </w:p>
        </w:tc>
        <w:tc>
          <w:tcPr>
            <w:tcW w:w="80" w:type="dxa"/>
            <w:vAlign w:val="bottom"/>
            <w:tcBorders>
              <w:bottom w:val="single" w:sz="8" w:color="F6F6F6"/>
            </w:tcBorders>
            <w:shd w:val="clear" w:color="auto" w:fill="F6F6F6"/>
          </w:tcPr>
          <w:p>
            <w:pPr>
              <w:spacing w:after="0"/>
              <w:rPr>
                <w:sz w:val="21"/>
                <w:szCs w:val="21"/>
                <w:color w:val="auto"/>
              </w:rPr>
            </w:pPr>
          </w:p>
        </w:tc>
        <w:tc>
          <w:tcPr>
            <w:tcW w:w="1140" w:type="dxa"/>
            <w:vAlign w:val="bottom"/>
            <w:tcBorders>
              <w:bottom w:val="single" w:sz="8" w:color="F6F6F6"/>
            </w:tcBorders>
            <w:shd w:val="clear" w:color="auto" w:fill="F6F6F6"/>
          </w:tcPr>
          <w:p>
            <w:pPr>
              <w:spacing w:after="0"/>
              <w:rPr>
                <w:sz w:val="21"/>
                <w:szCs w:val="21"/>
                <w:color w:val="auto"/>
              </w:rPr>
            </w:pPr>
          </w:p>
        </w:tc>
        <w:tc>
          <w:tcPr>
            <w:tcW w:w="620" w:type="dxa"/>
            <w:vAlign w:val="bottom"/>
            <w:tcBorders>
              <w:bottom w:val="single" w:sz="8" w:color="F6F6F6"/>
            </w:tcBorders>
            <w:shd w:val="clear" w:color="auto" w:fill="F6F6F6"/>
          </w:tcPr>
          <w:p>
            <w:pPr>
              <w:jc w:val="right"/>
              <w:spacing w:after="0"/>
              <w:rPr>
                <w:sz w:val="20"/>
                <w:szCs w:val="20"/>
                <w:color w:val="auto"/>
              </w:rPr>
            </w:pPr>
            <w:r>
              <w:rPr>
                <w:rFonts w:ascii="Arial" w:cs="Arial" w:eastAsia="Arial" w:hAnsi="Arial"/>
                <w:sz w:val="18"/>
                <w:szCs w:val="18"/>
                <w:color w:val="auto"/>
              </w:rPr>
              <w:t>0.02</w:t>
            </w:r>
          </w:p>
        </w:tc>
      </w:tr>
      <w:tr>
        <w:trPr>
          <w:trHeight w:val="247"/>
        </w:trPr>
        <w:tc>
          <w:tcPr>
            <w:tcW w:w="7640" w:type="dxa"/>
            <w:vAlign w:val="bottom"/>
          </w:tcPr>
          <w:p>
            <w:pPr>
              <w:ind w:left="220"/>
              <w:spacing w:after="0"/>
              <w:rPr>
                <w:sz w:val="20"/>
                <w:szCs w:val="20"/>
                <w:color w:val="auto"/>
              </w:rPr>
            </w:pPr>
            <w:r>
              <w:rPr>
                <w:rFonts w:ascii="Arial" w:cs="Arial" w:eastAsia="Arial" w:hAnsi="Arial"/>
                <w:sz w:val="18"/>
                <w:szCs w:val="18"/>
                <w:color w:val="auto"/>
              </w:rPr>
              <w:t>Tax impact on stock-based compensation expense</w:t>
            </w:r>
          </w:p>
        </w:tc>
        <w:tc>
          <w:tcPr>
            <w:tcW w:w="11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(0.02)</w:t>
            </w:r>
          </w:p>
        </w:tc>
        <w:tc>
          <w:tcPr>
            <w:tcW w:w="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(0.02)</w:t>
            </w:r>
          </w:p>
        </w:tc>
      </w:tr>
      <w:tr>
        <w:trPr>
          <w:trHeight w:val="23"/>
        </w:trPr>
        <w:tc>
          <w:tcPr>
            <w:tcW w:w="76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70"/>
        </w:trPr>
        <w:tc>
          <w:tcPr>
            <w:tcW w:w="7640" w:type="dxa"/>
            <w:vAlign w:val="bottom"/>
            <w:tcBorders>
              <w:bottom w:val="single" w:sz="8" w:color="F6F6F6"/>
            </w:tcBorders>
            <w:shd w:val="clear" w:color="auto" w:fill="F6F6F6"/>
          </w:tcPr>
          <w:p>
            <w:pPr>
              <w:ind w:left="220"/>
              <w:spacing w:after="0"/>
              <w:rPr>
                <w:sz w:val="20"/>
                <w:szCs w:val="20"/>
                <w:color w:val="auto"/>
              </w:rPr>
            </w:pPr>
            <w:r>
              <w:rPr>
                <w:rFonts w:ascii="Arial" w:cs="Arial" w:eastAsia="Arial" w:hAnsi="Arial"/>
                <w:sz w:val="18"/>
                <w:szCs w:val="18"/>
                <w:color w:val="auto"/>
              </w:rPr>
              <w:t>Tax impact on amortization of acquired intangible assets</w:t>
            </w:r>
          </w:p>
        </w:tc>
        <w:tc>
          <w:tcPr>
            <w:tcW w:w="1140" w:type="dxa"/>
            <w:vAlign w:val="bottom"/>
            <w:tcBorders>
              <w:bottom w:val="single" w:sz="8" w:color="F6F6F6"/>
            </w:tcBorders>
            <w:shd w:val="clear" w:color="auto" w:fill="F6F6F6"/>
          </w:tcPr>
          <w:p>
            <w:pPr>
              <w:spacing w:after="0"/>
              <w:rPr>
                <w:sz w:val="23"/>
                <w:szCs w:val="23"/>
                <w:color w:val="auto"/>
              </w:rPr>
            </w:pPr>
          </w:p>
        </w:tc>
        <w:tc>
          <w:tcPr>
            <w:tcW w:w="620" w:type="dxa"/>
            <w:vAlign w:val="bottom"/>
            <w:tcBorders>
              <w:bottom w:val="single" w:sz="8" w:color="F6F6F6"/>
            </w:tcBorders>
            <w:shd w:val="clear" w:color="auto" w:fill="F6F6F6"/>
          </w:tcPr>
          <w:p>
            <w:pPr>
              <w:jc w:val="right"/>
              <w:spacing w:after="0"/>
              <w:rPr>
                <w:sz w:val="20"/>
                <w:szCs w:val="20"/>
                <w:color w:val="auto"/>
              </w:rPr>
            </w:pPr>
            <w:r>
              <w:rPr>
                <w:rFonts w:ascii="Arial" w:cs="Arial" w:eastAsia="Arial" w:hAnsi="Arial"/>
                <w:sz w:val="18"/>
                <w:szCs w:val="18"/>
                <w:color w:val="auto"/>
              </w:rPr>
              <w:t>(0.01)</w:t>
            </w:r>
          </w:p>
        </w:tc>
        <w:tc>
          <w:tcPr>
            <w:tcW w:w="80" w:type="dxa"/>
            <w:vAlign w:val="bottom"/>
            <w:tcBorders>
              <w:bottom w:val="single" w:sz="8" w:color="F6F6F6"/>
            </w:tcBorders>
            <w:shd w:val="clear" w:color="auto" w:fill="F6F6F6"/>
          </w:tcPr>
          <w:p>
            <w:pPr>
              <w:spacing w:after="0"/>
              <w:rPr>
                <w:sz w:val="23"/>
                <w:szCs w:val="23"/>
                <w:color w:val="auto"/>
              </w:rPr>
            </w:pPr>
          </w:p>
        </w:tc>
        <w:tc>
          <w:tcPr>
            <w:tcW w:w="1140" w:type="dxa"/>
            <w:vAlign w:val="bottom"/>
            <w:tcBorders>
              <w:bottom w:val="single" w:sz="8" w:color="F6F6F6"/>
            </w:tcBorders>
            <w:shd w:val="clear" w:color="auto" w:fill="F6F6F6"/>
          </w:tcPr>
          <w:p>
            <w:pPr>
              <w:spacing w:after="0"/>
              <w:rPr>
                <w:sz w:val="23"/>
                <w:szCs w:val="23"/>
                <w:color w:val="auto"/>
              </w:rPr>
            </w:pPr>
          </w:p>
        </w:tc>
        <w:tc>
          <w:tcPr>
            <w:tcW w:w="620" w:type="dxa"/>
            <w:vAlign w:val="bottom"/>
            <w:tcBorders>
              <w:bottom w:val="single" w:sz="8" w:color="F6F6F6"/>
            </w:tcBorders>
            <w:shd w:val="clear" w:color="auto" w:fill="F6F6F6"/>
          </w:tcPr>
          <w:p>
            <w:pPr>
              <w:jc w:val="right"/>
              <w:spacing w:after="0"/>
              <w:rPr>
                <w:sz w:val="20"/>
                <w:szCs w:val="20"/>
                <w:color w:val="auto"/>
              </w:rPr>
            </w:pPr>
            <w:r>
              <w:rPr>
                <w:rFonts w:ascii="Arial" w:cs="Arial" w:eastAsia="Arial" w:hAnsi="Arial"/>
                <w:sz w:val="18"/>
                <w:szCs w:val="18"/>
                <w:color w:val="auto"/>
              </w:rPr>
              <w:t>—</w:t>
            </w:r>
          </w:p>
        </w:tc>
      </w:tr>
      <w:tr>
        <w:trPr>
          <w:trHeight w:val="263"/>
        </w:trPr>
        <w:tc>
          <w:tcPr>
            <w:tcW w:w="7640" w:type="dxa"/>
            <w:vAlign w:val="bottom"/>
          </w:tcPr>
          <w:p>
            <w:pPr>
              <w:ind w:left="80"/>
              <w:spacing w:after="0"/>
              <w:rPr>
                <w:sz w:val="20"/>
                <w:szCs w:val="20"/>
                <w:color w:val="auto"/>
              </w:rPr>
            </w:pPr>
            <w:r>
              <w:rPr>
                <w:rFonts w:ascii="Arial" w:cs="Arial" w:eastAsia="Arial" w:hAnsi="Arial"/>
                <w:sz w:val="18"/>
                <w:szCs w:val="18"/>
                <w:b w:val="1"/>
                <w:bCs w:val="1"/>
                <w:color w:val="auto"/>
              </w:rPr>
              <w:t>Adjusted diluted EPS</w:t>
            </w:r>
          </w:p>
        </w:tc>
        <w:tc>
          <w:tcPr>
            <w:tcW w:w="1140" w:type="dxa"/>
            <w:vAlign w:val="bottom"/>
            <w:tcBorders>
              <w:top w:val="single" w:sz="8" w:color="auto"/>
              <w:bottom w:val="single" w:sz="8" w:color="auto"/>
            </w:tcBorders>
          </w:tcPr>
          <w:p>
            <w:pPr>
              <w:jc w:val="right"/>
              <w:ind w:right="939"/>
              <w:spacing w:after="0"/>
              <w:rPr>
                <w:sz w:val="20"/>
                <w:szCs w:val="20"/>
                <w:color w:val="auto"/>
              </w:rPr>
            </w:pPr>
            <w:r>
              <w:rPr>
                <w:rFonts w:ascii="Arial" w:cs="Arial" w:eastAsia="Arial" w:hAnsi="Arial"/>
                <w:sz w:val="18"/>
                <w:szCs w:val="18"/>
                <w:b w:val="1"/>
                <w:bCs w:val="1"/>
                <w:color w:val="auto"/>
                <w:w w:val="9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0.84</w:t>
            </w:r>
          </w:p>
        </w:tc>
        <w:tc>
          <w:tcPr>
            <w:tcW w:w="80" w:type="dxa"/>
            <w:vAlign w:val="bottom"/>
          </w:tcPr>
          <w:p>
            <w:pPr>
              <w:spacing w:after="0"/>
              <w:rPr>
                <w:sz w:val="22"/>
                <w:szCs w:val="22"/>
                <w:color w:val="auto"/>
              </w:rPr>
            </w:pPr>
          </w:p>
        </w:tc>
        <w:tc>
          <w:tcPr>
            <w:tcW w:w="1140" w:type="dxa"/>
            <w:vAlign w:val="bottom"/>
            <w:tcBorders>
              <w:top w:val="single" w:sz="8" w:color="auto"/>
              <w:bottom w:val="single" w:sz="8" w:color="auto"/>
            </w:tcBorders>
          </w:tcPr>
          <w:p>
            <w:pPr>
              <w:jc w:val="right"/>
              <w:ind w:right="936"/>
              <w:spacing w:after="0"/>
              <w:rPr>
                <w:sz w:val="20"/>
                <w:szCs w:val="20"/>
                <w:color w:val="auto"/>
              </w:rPr>
            </w:pPr>
            <w:r>
              <w:rPr>
                <w:rFonts w:ascii="Arial" w:cs="Arial" w:eastAsia="Arial" w:hAnsi="Arial"/>
                <w:sz w:val="18"/>
                <w:szCs w:val="18"/>
                <w:b w:val="1"/>
                <w:bCs w:val="1"/>
                <w:color w:val="auto"/>
                <w:w w:val="9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0.98</w:t>
            </w:r>
          </w:p>
        </w:tc>
      </w:tr>
      <w:tr>
        <w:trPr>
          <w:trHeight w:val="20"/>
        </w:trPr>
        <w:tc>
          <w:tcPr>
            <w:tcW w:w="76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702945</wp:posOffset>
            </wp:positionV>
            <wp:extent cx="171450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100" w:hanging="92"/>
        <w:spacing w:after="0"/>
        <w:tabs>
          <w:tab w:leader="none" w:pos="100" w:val="left"/>
        </w:tabs>
        <w:numPr>
          <w:ilvl w:val="0"/>
          <w:numId w:val="8"/>
        </w:numPr>
        <w:rPr>
          <w:rFonts w:ascii="Arial" w:cs="Arial" w:eastAsia="Arial" w:hAnsi="Arial"/>
          <w:sz w:val="19"/>
          <w:szCs w:val="19"/>
          <w:color w:val="auto"/>
          <w:vertAlign w:val="superscript"/>
        </w:rPr>
      </w:pPr>
      <w:r>
        <w:rPr>
          <w:rFonts w:ascii="Arial" w:cs="Arial" w:eastAsia="Arial" w:hAnsi="Arial"/>
          <w:sz w:val="14"/>
          <w:szCs w:val="14"/>
          <w:color w:val="auto"/>
        </w:rPr>
        <w:t>Due to rounding, the numbers presented in this table may not add up precisely to the totals provided.</w:t>
      </w:r>
    </w:p>
    <w:p>
      <w:pPr>
        <w:sectPr>
          <w:pgSz w:w="11900" w:h="16838" w:orient="portrait"/>
          <w:cols w:equalWidth="0" w:num="1">
            <w:col w:w="11240"/>
          </w:cols>
          <w:pgMar w:left="320" w:top="1170" w:right="339" w:bottom="1440" w:gutter="0" w:footer="0" w:header="0"/>
        </w:sectPr>
      </w:pPr>
    </w:p>
    <w:bookmarkStart w:id="12" w:name="page13"/>
    <w:bookmarkEnd w:id="12"/>
    <w:p>
      <w:pPr>
        <w:ind w:right="740"/>
        <w:spacing w:after="0" w:line="287" w:lineRule="auto"/>
        <w:rPr>
          <w:sz w:val="20"/>
          <w:szCs w:val="20"/>
          <w:color w:val="auto"/>
        </w:rPr>
      </w:pPr>
      <w:r>
        <w:rPr>
          <w:rFonts w:ascii="Arial" w:cs="Arial" w:eastAsia="Arial" w:hAnsi="Arial"/>
          <w:sz w:val="18"/>
          <w:szCs w:val="18"/>
          <w:color w:val="auto"/>
        </w:rPr>
        <w:t>The following tables show the reconciliation of forward-looking non-GAAP financial measures to the most directly comparable GAAP measures for the year ending December 31, 2026:</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Outlook for Net Income Margin to Adjusted Income from Operations Margin</w:t>
      </w:r>
      <w:r>
        <w:rPr>
          <w:rFonts w:ascii="Arial" w:cs="Arial" w:eastAsia="Arial" w:hAnsi="Arial"/>
          <w:sz w:val="23"/>
          <w:szCs w:val="23"/>
          <w:b w:val="1"/>
          <w:bCs w:val="1"/>
          <w:color w:val="auto"/>
          <w:vertAlign w:val="superscript"/>
        </w:rPr>
        <w:t>7</w:t>
      </w:r>
    </w:p>
    <w:p>
      <w:pPr>
        <w:sectPr>
          <w:pgSz w:w="11900" w:h="16838" w:orient="portrait"/>
          <w:cols w:equalWidth="0" w:num="1">
            <w:col w:w="11240"/>
          </w:cols>
          <w:pgMar w:left="320" w:top="769" w:right="339" w:bottom="1440" w:gutter="0" w:footer="0" w:header="0"/>
        </w:sectPr>
      </w:pPr>
    </w:p>
    <w:p>
      <w:pPr>
        <w:spacing w:after="0" w:line="200" w:lineRule="exact"/>
        <w:rPr>
          <w:sz w:val="20"/>
          <w:szCs w:val="20"/>
          <w:color w:val="auto"/>
        </w:rPr>
      </w:pPr>
    </w:p>
    <w:p>
      <w:pPr>
        <w:spacing w:after="0" w:line="28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Net income margin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-135890</wp:posOffset>
            </wp:positionV>
            <wp:extent cx="7132320" cy="1803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pacing w:after="0" w:line="57" w:lineRule="exact"/>
        <w:rPr>
          <w:sz w:val="20"/>
          <w:szCs w:val="20"/>
          <w:color w:val="auto"/>
        </w:rPr>
      </w:pPr>
    </w:p>
    <w:p>
      <w:pPr>
        <w:ind w:left="280"/>
        <w:spacing w:after="0"/>
        <w:rPr>
          <w:sz w:val="20"/>
          <w:szCs w:val="20"/>
          <w:color w:val="auto"/>
        </w:rPr>
      </w:pPr>
      <w:r>
        <w:rPr>
          <w:rFonts w:ascii="Arial" w:cs="Arial" w:eastAsia="Arial" w:hAnsi="Arial"/>
          <w:sz w:val="18"/>
          <w:szCs w:val="18"/>
          <w:color w:val="auto"/>
        </w:rPr>
        <w:t>Estimated interest (income) expense,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1323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Estimated income tax expense</w:t>
      </w:r>
    </w:p>
    <w:p>
      <w:pPr>
        <w:spacing w:after="0" w:line="6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Estimated stock-based compensation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1323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80"/>
        <w:spacing w:after="0"/>
        <w:rPr>
          <w:sz w:val="20"/>
          <w:szCs w:val="20"/>
          <w:color w:val="auto"/>
        </w:rPr>
      </w:pPr>
      <w:r>
        <w:rPr>
          <w:rFonts w:ascii="Arial" w:cs="Arial" w:eastAsia="Arial" w:hAnsi="Arial"/>
          <w:sz w:val="17"/>
          <w:szCs w:val="17"/>
          <w:color w:val="auto"/>
        </w:rPr>
        <w:t>Estimated amortization of acquired intangible assets</w:t>
      </w:r>
    </w:p>
    <w:p>
      <w:pPr>
        <w:spacing w:after="0" w:line="75" w:lineRule="exact"/>
        <w:rPr>
          <w:sz w:val="20"/>
          <w:szCs w:val="20"/>
          <w:color w:val="auto"/>
        </w:rPr>
      </w:pPr>
    </w:p>
    <w:p>
      <w:pPr>
        <w:ind w:left="280"/>
        <w:spacing w:after="0"/>
        <w:rPr>
          <w:sz w:val="20"/>
          <w:szCs w:val="20"/>
          <w:color w:val="auto"/>
        </w:rPr>
      </w:pPr>
      <w:r>
        <w:rPr>
          <w:rFonts w:ascii="Arial" w:cs="Arial" w:eastAsia="Arial" w:hAnsi="Arial"/>
          <w:sz w:val="18"/>
          <w:szCs w:val="18"/>
          <w:color w:val="auto"/>
        </w:rPr>
        <w:t>Estimated foreign exchange (gain)/loss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132320" cy="1974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97485"/>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Adjusted income from operations margin</w:t>
      </w:r>
    </w:p>
    <w:p>
      <w:pPr>
        <w:spacing w:after="0" w:line="20" w:lineRule="exact"/>
        <w:rPr>
          <w:sz w:val="20"/>
          <w:szCs w:val="20"/>
          <w:color w:val="auto"/>
        </w:rPr>
      </w:pPr>
      <w:r>
        <w:rPr>
          <w:sz w:val="20"/>
          <w:szCs w:val="20"/>
          <w:color w:val="auto"/>
        </w:rPr>
        <w:br w:type="column"/>
      </w:r>
    </w:p>
    <w:p>
      <w:pPr>
        <w:spacing w:after="0" w:line="24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Year ending December 31, 2026</w:t>
      </w:r>
    </w:p>
    <w:p>
      <w:pPr>
        <w:spacing w:after="0" w:line="72" w:lineRule="exact"/>
        <w:rPr>
          <w:sz w:val="20"/>
          <w:szCs w:val="20"/>
          <w:color w:val="auto"/>
        </w:rPr>
      </w:pPr>
    </w:p>
    <w:p>
      <w:pPr>
        <w:jc w:val="right"/>
        <w:ind w:right="20"/>
        <w:spacing w:after="0"/>
        <w:rPr>
          <w:sz w:val="20"/>
          <w:szCs w:val="20"/>
          <w:color w:val="auto"/>
        </w:rPr>
      </w:pPr>
      <w:r>
        <w:rPr>
          <w:rFonts w:ascii="Arial" w:cs="Arial" w:eastAsia="Arial" w:hAnsi="Arial"/>
          <w:sz w:val="18"/>
          <w:szCs w:val="18"/>
          <w:b w:val="1"/>
          <w:bCs w:val="1"/>
          <w:color w:val="auto"/>
        </w:rPr>
        <w:t>11.1%</w:t>
      </w:r>
    </w:p>
    <w:p>
      <w:pPr>
        <w:spacing w:after="0" w:line="63"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1.1%</w:t>
      </w:r>
    </w:p>
    <w:p>
      <w:pPr>
        <w:spacing w:after="0" w:line="63"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3.5%</w:t>
      </w:r>
    </w:p>
    <w:p>
      <w:pPr>
        <w:spacing w:after="0" w:line="63"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1.9%</w:t>
      </w:r>
    </w:p>
    <w:p>
      <w:pPr>
        <w:spacing w:after="0" w:line="63"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0.2%</w:t>
      </w:r>
    </w:p>
    <w:p>
      <w:pPr>
        <w:spacing w:after="0" w:line="63"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(0.1)%</w:t>
      </w:r>
    </w:p>
    <w:p>
      <w:pPr>
        <w:spacing w:after="0" w:line="77" w:lineRule="exact"/>
        <w:rPr>
          <w:sz w:val="20"/>
          <w:szCs w:val="20"/>
          <w:color w:val="auto"/>
        </w:rPr>
      </w:pPr>
    </w:p>
    <w:p>
      <w:pPr>
        <w:jc w:val="right"/>
        <w:ind w:right="20"/>
        <w:spacing w:after="0"/>
        <w:rPr>
          <w:sz w:val="20"/>
          <w:szCs w:val="20"/>
          <w:color w:val="auto"/>
        </w:rPr>
      </w:pPr>
      <w:r>
        <w:rPr>
          <w:rFonts w:ascii="Arial" w:cs="Arial" w:eastAsia="Arial" w:hAnsi="Arial"/>
          <w:sz w:val="18"/>
          <w:szCs w:val="18"/>
          <w:b w:val="1"/>
          <w:bCs w:val="1"/>
          <w:color w:val="auto"/>
        </w:rPr>
        <w:t>17.7%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-225425</wp:posOffset>
            </wp:positionH>
            <wp:positionV relativeFrom="paragraph">
              <wp:posOffset>60325</wp:posOffset>
            </wp:positionV>
            <wp:extent cx="182562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82562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000" w:space="720"/>
            <w:col w:w="2520"/>
          </w:cols>
          <w:pgMar w:left="320" w:top="769" w:right="339" w:bottom="1440" w:gutter="0" w:footer="0" w:header="0"/>
          <w:type w:val="continuous"/>
        </w:sectPr>
      </w:pPr>
    </w:p>
    <w:p>
      <w:pPr>
        <w:spacing w:after="0" w:line="200" w:lineRule="exact"/>
        <w:rPr>
          <w:sz w:val="20"/>
          <w:szCs w:val="20"/>
          <w:color w:val="auto"/>
        </w:rPr>
      </w:pPr>
    </w:p>
    <w:p>
      <w:pPr>
        <w:spacing w:after="0" w:line="379" w:lineRule="exact"/>
        <w:rPr>
          <w:sz w:val="20"/>
          <w:szCs w:val="20"/>
          <w:color w:val="auto"/>
        </w:rPr>
      </w:pPr>
    </w:p>
    <w:p>
      <w:pPr>
        <w:jc w:val="center"/>
        <w:ind w:left="560"/>
        <w:spacing w:after="0"/>
        <w:rPr>
          <w:sz w:val="20"/>
          <w:szCs w:val="20"/>
          <w:color w:val="auto"/>
        </w:rPr>
      </w:pPr>
      <w:r>
        <w:rPr>
          <w:rFonts w:ascii="Arial" w:cs="Arial" w:eastAsia="Arial" w:hAnsi="Arial"/>
          <w:sz w:val="18"/>
          <w:szCs w:val="18"/>
          <w:b w:val="1"/>
          <w:bCs w:val="1"/>
          <w:color w:val="auto"/>
        </w:rPr>
        <w:t>Reconciliation of Outlook for Income from Operations Margin to Adjusted Income from</w:t>
      </w:r>
    </w:p>
    <w:p>
      <w:pPr>
        <w:spacing w:after="0" w:line="17" w:lineRule="exact"/>
        <w:rPr>
          <w:sz w:val="20"/>
          <w:szCs w:val="20"/>
          <w:color w:val="auto"/>
        </w:rPr>
      </w:pPr>
    </w:p>
    <w:p>
      <w:pPr>
        <w:jc w:val="center"/>
        <w:ind w:left="560"/>
        <w:spacing w:after="0"/>
        <w:rPr>
          <w:sz w:val="20"/>
          <w:szCs w:val="20"/>
          <w:color w:val="auto"/>
        </w:rPr>
      </w:pPr>
      <w:r>
        <w:rPr>
          <w:rFonts w:ascii="Arial" w:cs="Arial" w:eastAsia="Arial" w:hAnsi="Arial"/>
          <w:sz w:val="18"/>
          <w:szCs w:val="18"/>
          <w:b w:val="1"/>
          <w:bCs w:val="1"/>
          <w:color w:val="auto"/>
        </w:rPr>
        <w:t>Operations Margin</w:t>
      </w:r>
      <w:r>
        <w:rPr>
          <w:rFonts w:ascii="Arial" w:cs="Arial" w:eastAsia="Arial" w:hAnsi="Arial"/>
          <w:sz w:val="23"/>
          <w:szCs w:val="23"/>
          <w:b w:val="1"/>
          <w:bCs w:val="1"/>
          <w:color w:val="auto"/>
          <w:vertAlign w:val="superscript"/>
        </w:rPr>
        <w:t>7</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360" w:type="dxa"/>
            <w:vAlign w:val="bottom"/>
            <w:tcBorders>
              <w:bottom w:val="single" w:sz="8" w:color="F6F6F6"/>
            </w:tcBorders>
          </w:tcPr>
          <w:p>
            <w:pPr>
              <w:spacing w:after="0"/>
              <w:rPr>
                <w:sz w:val="17"/>
                <w:szCs w:val="17"/>
                <w:color w:val="auto"/>
              </w:rPr>
            </w:pPr>
          </w:p>
        </w:tc>
        <w:tc>
          <w:tcPr>
            <w:tcW w:w="288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Year ending December 31, 2026</w:t>
            </w:r>
          </w:p>
        </w:tc>
      </w:tr>
      <w:tr>
        <w:trPr>
          <w:trHeight w:val="270"/>
        </w:trPr>
        <w:tc>
          <w:tcPr>
            <w:tcW w:w="8360" w:type="dxa"/>
            <w:vAlign w:val="bottom"/>
            <w:shd w:val="clear" w:color="auto" w:fill="F6F6F6"/>
          </w:tcPr>
          <w:p>
            <w:pPr>
              <w:ind w:left="20"/>
              <w:spacing w:after="0"/>
              <w:rPr>
                <w:sz w:val="20"/>
                <w:szCs w:val="20"/>
                <w:color w:val="auto"/>
              </w:rPr>
            </w:pPr>
            <w:r>
              <w:rPr>
                <w:rFonts w:ascii="Arial" w:cs="Arial" w:eastAsia="Arial" w:hAnsi="Arial"/>
                <w:sz w:val="18"/>
                <w:szCs w:val="18"/>
                <w:b w:val="1"/>
                <w:bCs w:val="1"/>
                <w:color w:val="auto"/>
              </w:rPr>
              <w:t>Income from operations margin</w:t>
            </w:r>
          </w:p>
        </w:tc>
        <w:tc>
          <w:tcPr>
            <w:tcW w:w="2880" w:type="dxa"/>
            <w:vAlign w:val="bottom"/>
            <w:shd w:val="clear" w:color="auto" w:fill="F6F6F6"/>
          </w:tcPr>
          <w:p>
            <w:pPr>
              <w:jc w:val="right"/>
              <w:spacing w:after="0"/>
              <w:rPr>
                <w:sz w:val="20"/>
                <w:szCs w:val="20"/>
                <w:color w:val="auto"/>
              </w:rPr>
            </w:pPr>
            <w:r>
              <w:rPr>
                <w:rFonts w:ascii="Arial" w:cs="Arial" w:eastAsia="Arial" w:hAnsi="Arial"/>
                <w:sz w:val="18"/>
                <w:szCs w:val="18"/>
                <w:b w:val="1"/>
                <w:bCs w:val="1"/>
                <w:color w:val="auto"/>
              </w:rPr>
              <w:t>15.4%</w:t>
            </w:r>
          </w:p>
        </w:tc>
      </w:tr>
      <w:tr>
        <w:trPr>
          <w:trHeight w:val="247"/>
        </w:trPr>
        <w:tc>
          <w:tcPr>
            <w:tcW w:w="8360" w:type="dxa"/>
            <w:vAlign w:val="bottom"/>
          </w:tcPr>
          <w:p>
            <w:pPr>
              <w:ind w:left="280"/>
              <w:spacing w:after="0"/>
              <w:rPr>
                <w:sz w:val="20"/>
                <w:szCs w:val="20"/>
                <w:color w:val="auto"/>
              </w:rPr>
            </w:pPr>
            <w:r>
              <w:rPr>
                <w:rFonts w:ascii="Arial" w:cs="Arial" w:eastAsia="Arial" w:hAnsi="Arial"/>
                <w:sz w:val="18"/>
                <w:szCs w:val="18"/>
                <w:color w:val="auto"/>
              </w:rPr>
              <w:t>Estimated stock-based compensation expense</w:t>
            </w:r>
          </w:p>
        </w:tc>
        <w:tc>
          <w:tcPr>
            <w:tcW w:w="28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3"/>
        </w:trPr>
        <w:tc>
          <w:tcPr>
            <w:tcW w:w="8360" w:type="dxa"/>
            <w:vAlign w:val="bottom"/>
          </w:tcPr>
          <w:p>
            <w:pPr>
              <w:spacing w:after="0"/>
              <w:rPr>
                <w:sz w:val="2"/>
                <w:szCs w:val="2"/>
                <w:color w:val="auto"/>
              </w:rPr>
            </w:pPr>
          </w:p>
        </w:tc>
        <w:tc>
          <w:tcPr>
            <w:tcW w:w="2880" w:type="dxa"/>
            <w:vAlign w:val="bottom"/>
          </w:tcPr>
          <w:p>
            <w:pPr>
              <w:spacing w:after="0"/>
              <w:rPr>
                <w:sz w:val="2"/>
                <w:szCs w:val="2"/>
                <w:color w:val="auto"/>
              </w:rPr>
            </w:pPr>
          </w:p>
        </w:tc>
      </w:tr>
      <w:tr>
        <w:trPr>
          <w:trHeight w:val="250"/>
        </w:trPr>
        <w:tc>
          <w:tcPr>
            <w:tcW w:w="8360" w:type="dxa"/>
            <w:vAlign w:val="bottom"/>
            <w:tcBorders>
              <w:bottom w:val="single" w:sz="8" w:color="F6F6F6"/>
            </w:tcBorders>
            <w:shd w:val="clear" w:color="auto" w:fill="F6F6F6"/>
          </w:tcPr>
          <w:p>
            <w:pPr>
              <w:ind w:left="280"/>
              <w:spacing w:after="0"/>
              <w:rPr>
                <w:sz w:val="20"/>
                <w:szCs w:val="20"/>
                <w:color w:val="auto"/>
              </w:rPr>
            </w:pPr>
            <w:r>
              <w:rPr>
                <w:rFonts w:ascii="Arial" w:cs="Arial" w:eastAsia="Arial" w:hAnsi="Arial"/>
                <w:sz w:val="18"/>
                <w:szCs w:val="18"/>
                <w:color w:val="auto"/>
              </w:rPr>
              <w:t>Estimated amortization of acquired intangible assets</w:t>
            </w:r>
          </w:p>
        </w:tc>
        <w:tc>
          <w:tcPr>
            <w:tcW w:w="2880" w:type="dxa"/>
            <w:vAlign w:val="bottom"/>
            <w:tcBorders>
              <w:bottom w:val="single" w:sz="8" w:color="F6F6F6"/>
            </w:tcBorders>
            <w:shd w:val="clear" w:color="auto" w:fill="F6F6F6"/>
          </w:tcPr>
          <w:p>
            <w:pPr>
              <w:jc w:val="right"/>
              <w:spacing w:after="0"/>
              <w:rPr>
                <w:sz w:val="20"/>
                <w:szCs w:val="20"/>
                <w:color w:val="auto"/>
              </w:rPr>
            </w:pPr>
            <w:r>
              <w:rPr>
                <w:rFonts w:ascii="Arial" w:cs="Arial" w:eastAsia="Arial" w:hAnsi="Arial"/>
                <w:sz w:val="18"/>
                <w:szCs w:val="18"/>
                <w:color w:val="auto"/>
              </w:rPr>
              <w:t>0.2%</w:t>
            </w:r>
          </w:p>
        </w:tc>
      </w:tr>
      <w:tr>
        <w:trPr>
          <w:trHeight w:val="247"/>
        </w:trPr>
        <w:tc>
          <w:tcPr>
            <w:tcW w:w="8360" w:type="dxa"/>
            <w:vAlign w:val="bottom"/>
          </w:tcPr>
          <w:p>
            <w:pPr>
              <w:ind w:left="280"/>
              <w:spacing w:after="0"/>
              <w:rPr>
                <w:sz w:val="20"/>
                <w:szCs w:val="20"/>
                <w:color w:val="auto"/>
              </w:rPr>
            </w:pPr>
            <w:r>
              <w:rPr>
                <w:rFonts w:ascii="Arial" w:cs="Arial" w:eastAsia="Arial" w:hAnsi="Arial"/>
                <w:sz w:val="18"/>
                <w:szCs w:val="18"/>
                <w:color w:val="auto"/>
              </w:rPr>
              <w:t>Estimated other income (expense), net</w:t>
            </w:r>
          </w:p>
        </w:tc>
        <w:tc>
          <w:tcPr>
            <w:tcW w:w="2880" w:type="dxa"/>
            <w:vAlign w:val="bottom"/>
          </w:tcPr>
          <w:p>
            <w:pPr>
              <w:jc w:val="right"/>
              <w:spacing w:after="0"/>
              <w:rPr>
                <w:sz w:val="20"/>
                <w:szCs w:val="20"/>
                <w:color w:val="auto"/>
              </w:rPr>
            </w:pPr>
            <w:r>
              <w:rPr>
                <w:rFonts w:ascii="Arial" w:cs="Arial" w:eastAsia="Arial" w:hAnsi="Arial"/>
                <w:sz w:val="18"/>
                <w:szCs w:val="18"/>
                <w:color w:val="auto"/>
              </w:rPr>
              <w:t>0.2%</w:t>
            </w:r>
          </w:p>
        </w:tc>
      </w:tr>
      <w:tr>
        <w:trPr>
          <w:trHeight w:val="23"/>
        </w:trPr>
        <w:tc>
          <w:tcPr>
            <w:tcW w:w="8360" w:type="dxa"/>
            <w:vAlign w:val="bottom"/>
            <w:tcBorders>
              <w:bottom w:val="single" w:sz="8" w:color="F6F6F6"/>
            </w:tcBorders>
          </w:tcPr>
          <w:p>
            <w:pPr>
              <w:spacing w:after="0"/>
              <w:rPr>
                <w:sz w:val="2"/>
                <w:szCs w:val="2"/>
                <w:color w:val="auto"/>
              </w:rPr>
            </w:pPr>
          </w:p>
        </w:tc>
        <w:tc>
          <w:tcPr>
            <w:tcW w:w="2880" w:type="dxa"/>
            <w:vAlign w:val="bottom"/>
            <w:tcBorders>
              <w:bottom w:val="single" w:sz="8" w:color="auto"/>
            </w:tcBorders>
          </w:tcPr>
          <w:p>
            <w:pPr>
              <w:spacing w:after="0"/>
              <w:rPr>
                <w:sz w:val="2"/>
                <w:szCs w:val="2"/>
                <w:color w:val="auto"/>
              </w:rPr>
            </w:pPr>
          </w:p>
        </w:tc>
      </w:tr>
      <w:tr>
        <w:trPr>
          <w:trHeight w:val="282"/>
        </w:trPr>
        <w:tc>
          <w:tcPr>
            <w:tcW w:w="8360" w:type="dxa"/>
            <w:vAlign w:val="bottom"/>
            <w:tcBorders>
              <w:bottom w:val="single" w:sz="8" w:color="F6F6F6"/>
            </w:tcBorders>
            <w:shd w:val="clear" w:color="auto" w:fill="F6F6F6"/>
          </w:tcPr>
          <w:p>
            <w:pPr>
              <w:ind w:left="20"/>
              <w:spacing w:after="0"/>
              <w:rPr>
                <w:sz w:val="20"/>
                <w:szCs w:val="20"/>
                <w:color w:val="auto"/>
              </w:rPr>
            </w:pPr>
            <w:r>
              <w:rPr>
                <w:rFonts w:ascii="Arial" w:cs="Arial" w:eastAsia="Arial" w:hAnsi="Arial"/>
                <w:sz w:val="18"/>
                <w:szCs w:val="18"/>
                <w:b w:val="1"/>
                <w:bCs w:val="1"/>
                <w:color w:val="auto"/>
              </w:rPr>
              <w:t>Adjusted income from operations margin</w:t>
            </w:r>
          </w:p>
        </w:tc>
        <w:tc>
          <w:tcPr>
            <w:tcW w:w="2880" w:type="dxa"/>
            <w:vAlign w:val="bottom"/>
            <w:tcBorders>
              <w:bottom w:val="single" w:sz="8" w:color="auto"/>
            </w:tcBorders>
            <w:shd w:val="clear" w:color="auto" w:fill="F6F6F6"/>
          </w:tcPr>
          <w:p>
            <w:pPr>
              <w:jc w:val="right"/>
              <w:spacing w:after="0"/>
              <w:rPr>
                <w:sz w:val="20"/>
                <w:szCs w:val="20"/>
                <w:color w:val="auto"/>
              </w:rPr>
            </w:pPr>
            <w:r>
              <w:rPr>
                <w:rFonts w:ascii="Arial" w:cs="Arial" w:eastAsia="Arial" w:hAnsi="Arial"/>
                <w:sz w:val="18"/>
                <w:szCs w:val="18"/>
                <w:b w:val="1"/>
                <w:bCs w:val="1"/>
                <w:color w:val="auto"/>
              </w:rPr>
              <w:t>17.7%</w:t>
            </w:r>
          </w:p>
        </w:tc>
      </w:tr>
      <w:tr>
        <w:trPr>
          <w:trHeight w:val="20"/>
        </w:trPr>
        <w:tc>
          <w:tcPr>
            <w:tcW w:w="8360" w:type="dxa"/>
            <w:vAlign w:val="bottom"/>
            <w:tcBorders>
              <w:top w:val="single" w:sz="8" w:color="F6F6F6"/>
            </w:tcBorders>
          </w:tcPr>
          <w:p>
            <w:pPr>
              <w:spacing w:after="0" w:line="20" w:lineRule="exact"/>
              <w:rPr>
                <w:sz w:val="1"/>
                <w:szCs w:val="1"/>
                <w:color w:val="auto"/>
              </w:rPr>
            </w:pPr>
          </w:p>
        </w:tc>
        <w:tc>
          <w:tcPr>
            <w:tcW w:w="2880" w:type="dxa"/>
            <w:vAlign w:val="bottom"/>
            <w:tcBorders>
              <w:top w:val="single" w:sz="8" w:color="F6F6F6"/>
              <w:bottom w:val="single" w:sz="8" w:color="auto"/>
            </w:tcBorders>
          </w:tcPr>
          <w:p>
            <w:pPr>
              <w:spacing w:after="0" w:line="20" w:lineRule="exact"/>
              <w:rPr>
                <w:sz w:val="1"/>
                <w:szCs w:val="1"/>
                <w:color w:val="auto"/>
              </w:rPr>
            </w:pPr>
          </w:p>
        </w:tc>
      </w:tr>
    </w:tbl>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Outlook for Diluted EPS to Adjusted Diluted EPS</w:t>
      </w:r>
      <w:r>
        <w:rPr>
          <w:rFonts w:ascii="Arial" w:cs="Arial" w:eastAsia="Arial" w:hAnsi="Arial"/>
          <w:sz w:val="23"/>
          <w:szCs w:val="23"/>
          <w:b w:val="1"/>
          <w:bCs w:val="1"/>
          <w:color w:val="auto"/>
          <w:vertAlign w:val="superscript"/>
        </w:rPr>
        <w:t>7</w:t>
      </w:r>
    </w:p>
    <w:p>
      <w:pPr>
        <w:jc w:val="center"/>
        <w:spacing w:after="0"/>
        <w:rPr>
          <w:sz w:val="20"/>
          <w:szCs w:val="20"/>
          <w:color w:val="auto"/>
        </w:rPr>
      </w:pPr>
      <w:r>
        <w:rPr>
          <w:rFonts w:ascii="Arial" w:cs="Arial" w:eastAsia="Arial" w:hAnsi="Arial"/>
          <w:sz w:val="18"/>
          <w:szCs w:val="18"/>
          <w:color w:val="auto"/>
        </w:rPr>
        <w:t>(Per share data)</w:t>
      </w:r>
    </w:p>
    <w:p>
      <w:pPr>
        <w:spacing w:after="0" w:line="298" w:lineRule="exact"/>
        <w:rPr>
          <w:sz w:val="20"/>
          <w:szCs w:val="20"/>
          <w:color w:val="auto"/>
        </w:rPr>
      </w:pPr>
    </w:p>
    <w:p>
      <w:pPr>
        <w:ind w:left="8720"/>
        <w:spacing w:after="0"/>
        <w:rPr>
          <w:sz w:val="20"/>
          <w:szCs w:val="20"/>
          <w:color w:val="auto"/>
        </w:rPr>
      </w:pPr>
      <w:r>
        <w:rPr>
          <w:rFonts w:ascii="Arial" w:cs="Arial" w:eastAsia="Arial" w:hAnsi="Arial"/>
          <w:sz w:val="14"/>
          <w:szCs w:val="14"/>
          <w:b w:val="1"/>
          <w:bCs w:val="1"/>
          <w:color w:val="auto"/>
        </w:rPr>
        <w:t>Year ending December 31,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1797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type w:val="continuous"/>
        </w:sectPr>
      </w:pPr>
    </w:p>
    <w:p>
      <w:pPr>
        <w:spacing w:after="0" w:line="5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Diluted EPS</w:t>
      </w:r>
    </w:p>
    <w:p>
      <w:pPr>
        <w:spacing w:after="0" w:line="77" w:lineRule="exact"/>
        <w:rPr>
          <w:sz w:val="20"/>
          <w:szCs w:val="20"/>
          <w:color w:val="auto"/>
        </w:rPr>
      </w:pPr>
    </w:p>
    <w:p>
      <w:pPr>
        <w:ind w:left="280"/>
        <w:spacing w:after="0"/>
        <w:rPr>
          <w:sz w:val="20"/>
          <w:szCs w:val="20"/>
          <w:color w:val="auto"/>
        </w:rPr>
      </w:pPr>
      <w:r>
        <w:rPr>
          <w:rFonts w:ascii="Arial" w:cs="Arial" w:eastAsia="Arial" w:hAnsi="Arial"/>
          <w:sz w:val="18"/>
          <w:szCs w:val="18"/>
          <w:color w:val="auto"/>
        </w:rPr>
        <w:t>Estimated stock-based compensation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1323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Estimated amortization of acquired intangible assets</w:t>
      </w:r>
    </w:p>
    <w:p>
      <w:pPr>
        <w:spacing w:after="0" w:line="6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Estimated tax impact on stock-based compensation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1323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80"/>
        <w:spacing w:after="0"/>
        <w:rPr>
          <w:sz w:val="20"/>
          <w:szCs w:val="20"/>
          <w:color w:val="auto"/>
        </w:rPr>
      </w:pPr>
      <w:r>
        <w:rPr>
          <w:rFonts w:ascii="Arial" w:cs="Arial" w:eastAsia="Arial" w:hAnsi="Arial"/>
          <w:sz w:val="17"/>
          <w:szCs w:val="17"/>
          <w:color w:val="auto"/>
        </w:rPr>
        <w:t>Estimated tax impact on amortization of acquired intangible assets</w:t>
      </w:r>
    </w:p>
    <w:p>
      <w:pPr>
        <w:spacing w:after="0" w:line="7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Adjusted diluted EPS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1097915</wp:posOffset>
            </wp:positionV>
            <wp:extent cx="171450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5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7"/>
        </w:trPr>
        <w:tc>
          <w:tcPr>
            <w:tcW w:w="1240" w:type="dxa"/>
            <w:vAlign w:val="bottom"/>
          </w:tcPr>
          <w:p>
            <w:pPr>
              <w:jc w:val="right"/>
              <w:ind w:right="1050"/>
              <w:spacing w:after="0"/>
              <w:rPr>
                <w:sz w:val="20"/>
                <w:szCs w:val="20"/>
                <w:color w:val="auto"/>
              </w:rPr>
            </w:pPr>
            <w:r>
              <w:rPr>
                <w:rFonts w:ascii="Arial" w:cs="Arial" w:eastAsia="Arial" w:hAnsi="Arial"/>
                <w:sz w:val="18"/>
                <w:szCs w:val="18"/>
                <w:b w:val="1"/>
                <w:bCs w:val="1"/>
                <w:color w:val="auto"/>
                <w:w w:val="79"/>
              </w:rPr>
              <w:t>$</w:t>
            </w:r>
          </w:p>
        </w:tc>
        <w:tc>
          <w:tcPr>
            <w:tcW w:w="1640" w:type="dxa"/>
            <w:vAlign w:val="bottom"/>
          </w:tcPr>
          <w:p>
            <w:pPr>
              <w:jc w:val="right"/>
              <w:spacing w:after="0"/>
              <w:rPr>
                <w:sz w:val="20"/>
                <w:szCs w:val="20"/>
                <w:color w:val="auto"/>
              </w:rPr>
            </w:pPr>
            <w:r>
              <w:rPr>
                <w:rFonts w:ascii="Arial" w:cs="Arial" w:eastAsia="Arial" w:hAnsi="Arial"/>
                <w:sz w:val="18"/>
                <w:szCs w:val="18"/>
                <w:b w:val="1"/>
                <w:bCs w:val="1"/>
                <w:color w:val="auto"/>
              </w:rPr>
              <w:t>3.48</w:t>
            </w:r>
          </w:p>
        </w:tc>
      </w:tr>
      <w:tr>
        <w:trPr>
          <w:trHeight w:val="262"/>
        </w:trPr>
        <w:tc>
          <w:tcPr>
            <w:tcW w:w="1240" w:type="dxa"/>
            <w:vAlign w:val="bottom"/>
          </w:tcPr>
          <w:p>
            <w:pPr>
              <w:spacing w:after="0"/>
              <w:rPr>
                <w:sz w:val="22"/>
                <w:szCs w:val="22"/>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0.60</w:t>
            </w:r>
          </w:p>
        </w:tc>
      </w:tr>
      <w:tr>
        <w:trPr>
          <w:trHeight w:val="270"/>
        </w:trPr>
        <w:tc>
          <w:tcPr>
            <w:tcW w:w="1240" w:type="dxa"/>
            <w:vAlign w:val="bottom"/>
          </w:tcPr>
          <w:p>
            <w:pPr>
              <w:spacing w:after="0"/>
              <w:rPr>
                <w:sz w:val="23"/>
                <w:szCs w:val="23"/>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0.07</w:t>
            </w:r>
          </w:p>
        </w:tc>
      </w:tr>
      <w:tr>
        <w:trPr>
          <w:trHeight w:val="270"/>
        </w:trPr>
        <w:tc>
          <w:tcPr>
            <w:tcW w:w="1240" w:type="dxa"/>
            <w:vAlign w:val="bottom"/>
          </w:tcPr>
          <w:p>
            <w:pPr>
              <w:spacing w:after="0"/>
              <w:rPr>
                <w:sz w:val="23"/>
                <w:szCs w:val="23"/>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(0.09)</w:t>
            </w:r>
          </w:p>
        </w:tc>
      </w:tr>
      <w:tr>
        <w:trPr>
          <w:trHeight w:val="270"/>
        </w:trPr>
        <w:tc>
          <w:tcPr>
            <w:tcW w:w="1240" w:type="dxa"/>
            <w:vAlign w:val="bottom"/>
          </w:tcPr>
          <w:p>
            <w:pPr>
              <w:spacing w:after="0"/>
              <w:rPr>
                <w:sz w:val="23"/>
                <w:szCs w:val="23"/>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(0.02)</w:t>
            </w:r>
          </w:p>
        </w:tc>
      </w:tr>
      <w:tr>
        <w:trPr>
          <w:trHeight w:val="23"/>
        </w:trPr>
        <w:tc>
          <w:tcPr>
            <w:tcW w:w="12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57"/>
        </w:trPr>
        <w:tc>
          <w:tcPr>
            <w:tcW w:w="1240" w:type="dxa"/>
            <w:vAlign w:val="bottom"/>
            <w:tcBorders>
              <w:bottom w:val="single" w:sz="8" w:color="auto"/>
            </w:tcBorders>
          </w:tcPr>
          <w:p>
            <w:pPr>
              <w:jc w:val="right"/>
              <w:ind w:right="1050"/>
              <w:spacing w:after="0"/>
              <w:rPr>
                <w:sz w:val="20"/>
                <w:szCs w:val="20"/>
                <w:color w:val="auto"/>
              </w:rPr>
            </w:pPr>
            <w:r>
              <w:rPr>
                <w:rFonts w:ascii="Arial" w:cs="Arial" w:eastAsia="Arial" w:hAnsi="Arial"/>
                <w:sz w:val="18"/>
                <w:szCs w:val="18"/>
                <w:b w:val="1"/>
                <w:bCs w:val="1"/>
                <w:color w:val="auto"/>
                <w:w w:val="79"/>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4.04</w:t>
            </w:r>
          </w:p>
        </w:tc>
      </w:tr>
      <w:tr>
        <w:trPr>
          <w:trHeight w:val="27"/>
        </w:trPr>
        <w:tc>
          <w:tcPr>
            <w:tcW w:w="12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2">
            <w:col w:w="7640" w:space="720"/>
            <w:col w:w="2880"/>
          </w:cols>
          <w:pgMar w:left="320" w:top="769"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100" w:hanging="92"/>
        <w:spacing w:after="0"/>
        <w:tabs>
          <w:tab w:leader="none" w:pos="100" w:val="left"/>
        </w:tabs>
        <w:numPr>
          <w:ilvl w:val="0"/>
          <w:numId w:val="9"/>
        </w:numPr>
        <w:rPr>
          <w:rFonts w:ascii="Arial" w:cs="Arial" w:eastAsia="Arial" w:hAnsi="Arial"/>
          <w:sz w:val="9"/>
          <w:szCs w:val="9"/>
          <w:color w:val="auto"/>
        </w:rPr>
      </w:pPr>
      <w:r>
        <w:rPr>
          <w:rFonts w:ascii="Arial" w:cs="Arial" w:eastAsia="Arial" w:hAnsi="Arial"/>
          <w:sz w:val="14"/>
          <w:szCs w:val="14"/>
          <w:color w:val="auto"/>
        </w:rPr>
        <w:t>Due to rounding, the numbers presented in this table may not add up precisely to the totals provided.</w:t>
      </w:r>
    </w:p>
    <w:p>
      <w:pPr>
        <w:sectPr>
          <w:pgSz w:w="11900" w:h="16838" w:orient="portrait"/>
          <w:cols w:equalWidth="0" w:num="1">
            <w:col w:w="11240"/>
          </w:cols>
          <w:pgMar w:left="320" w:top="769" w:right="339" w:bottom="1440" w:gutter="0" w:footer="0" w:header="0"/>
          <w:type w:val="continuous"/>
        </w:sectPr>
      </w:pPr>
    </w:p>
    <w:bookmarkStart w:id="13" w:name="page14"/>
    <w:bookmarkEnd w:id="13"/>
    <w:p>
      <w:pPr>
        <w:spacing w:after="0" w:line="287" w:lineRule="auto"/>
        <w:rPr>
          <w:sz w:val="20"/>
          <w:szCs w:val="20"/>
          <w:color w:val="auto"/>
        </w:rPr>
      </w:pPr>
      <w:r>
        <w:rPr>
          <w:rFonts w:ascii="Arial" w:cs="Arial" w:eastAsia="Arial" w:hAnsi="Arial"/>
          <w:sz w:val="18"/>
          <w:szCs w:val="18"/>
          <w:color w:val="auto"/>
        </w:rPr>
        <w:t>The following tables show the reconciliation of forward-looking non-GAAP financial measures to the most directly comparable GAAP measures for the quarter ending June 30, 2026:</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Outlook for Net Income Margin to Adjusted Income from Operations Margin</w:t>
      </w:r>
      <w:r>
        <w:rPr>
          <w:rFonts w:ascii="Arial" w:cs="Arial" w:eastAsia="Arial" w:hAnsi="Arial"/>
          <w:sz w:val="23"/>
          <w:szCs w:val="23"/>
          <w:b w:val="1"/>
          <w:bCs w:val="1"/>
          <w:color w:val="auto"/>
          <w:vertAlign w:val="superscript"/>
        </w:rPr>
        <w:t>8</w:t>
      </w:r>
    </w:p>
    <w:p>
      <w:pPr>
        <w:spacing w:after="0" w:line="263" w:lineRule="exact"/>
        <w:rPr>
          <w:sz w:val="20"/>
          <w:szCs w:val="20"/>
          <w:color w:val="auto"/>
        </w:rPr>
      </w:pPr>
    </w:p>
    <w:p>
      <w:pPr>
        <w:ind w:left="8560"/>
        <w:spacing w:after="0"/>
        <w:rPr>
          <w:sz w:val="20"/>
          <w:szCs w:val="20"/>
          <w:color w:val="auto"/>
        </w:rPr>
      </w:pPr>
      <w:r>
        <w:rPr>
          <w:rFonts w:ascii="Arial" w:cs="Arial" w:eastAsia="Arial" w:hAnsi="Arial"/>
          <w:sz w:val="14"/>
          <w:szCs w:val="14"/>
          <w:b w:val="1"/>
          <w:bCs w:val="1"/>
          <w:color w:val="auto"/>
        </w:rPr>
        <w:t>Quarter ending June 30,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1803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p>
      <w:pPr>
        <w:spacing w:after="0" w:line="5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Net income margin</w:t>
      </w:r>
    </w:p>
    <w:p>
      <w:pPr>
        <w:spacing w:after="0" w:line="77" w:lineRule="exact"/>
        <w:rPr>
          <w:sz w:val="20"/>
          <w:szCs w:val="20"/>
          <w:color w:val="auto"/>
        </w:rPr>
      </w:pPr>
    </w:p>
    <w:p>
      <w:pPr>
        <w:ind w:left="280"/>
        <w:spacing w:after="0"/>
        <w:rPr>
          <w:sz w:val="20"/>
          <w:szCs w:val="20"/>
          <w:color w:val="auto"/>
        </w:rPr>
      </w:pPr>
      <w:r>
        <w:rPr>
          <w:rFonts w:ascii="Arial" w:cs="Arial" w:eastAsia="Arial" w:hAnsi="Arial"/>
          <w:sz w:val="18"/>
          <w:szCs w:val="18"/>
          <w:color w:val="auto"/>
        </w:rPr>
        <w:t>Estimated interest (income) expense,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13232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Estimated income tax expense</w:t>
      </w:r>
    </w:p>
    <w:p>
      <w:pPr>
        <w:spacing w:after="0" w:line="6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Estimated stock-based compensation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13232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80"/>
        <w:spacing w:after="0"/>
        <w:rPr>
          <w:sz w:val="20"/>
          <w:szCs w:val="20"/>
          <w:color w:val="auto"/>
        </w:rPr>
      </w:pPr>
      <w:r>
        <w:rPr>
          <w:rFonts w:ascii="Arial" w:cs="Arial" w:eastAsia="Arial" w:hAnsi="Arial"/>
          <w:sz w:val="17"/>
          <w:szCs w:val="17"/>
          <w:color w:val="auto"/>
        </w:rPr>
        <w:t>Estimated amortization of acquired intangible assets</w:t>
      </w:r>
    </w:p>
    <w:p>
      <w:pPr>
        <w:spacing w:after="0" w:line="75" w:lineRule="exact"/>
        <w:rPr>
          <w:sz w:val="20"/>
          <w:szCs w:val="20"/>
          <w:color w:val="auto"/>
        </w:rPr>
      </w:pPr>
    </w:p>
    <w:p>
      <w:pPr>
        <w:ind w:left="280"/>
        <w:spacing w:after="0"/>
        <w:rPr>
          <w:sz w:val="20"/>
          <w:szCs w:val="20"/>
          <w:color w:val="auto"/>
        </w:rPr>
      </w:pPr>
      <w:r>
        <w:rPr>
          <w:rFonts w:ascii="Arial" w:cs="Arial" w:eastAsia="Arial" w:hAnsi="Arial"/>
          <w:sz w:val="18"/>
          <w:szCs w:val="18"/>
          <w:color w:val="auto"/>
        </w:rPr>
        <w:t>Estimated foreign exchange (gain)/loss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132320" cy="1968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968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Adjusted income from operations margin</w:t>
      </w:r>
    </w:p>
    <w:p>
      <w:pPr>
        <w:spacing w:after="0" w:line="20" w:lineRule="exact"/>
        <w:rPr>
          <w:sz w:val="20"/>
          <w:szCs w:val="20"/>
          <w:color w:val="auto"/>
        </w:rPr>
      </w:pPr>
      <w:r>
        <w:rPr>
          <w:sz w:val="20"/>
          <w:szCs w:val="20"/>
          <w:color w:val="auto"/>
        </w:rPr>
        <w:br w:type="column"/>
      </w:r>
    </w:p>
    <w:p>
      <w:pPr>
        <w:spacing w:after="0" w:line="52" w:lineRule="exact"/>
        <w:rPr>
          <w:sz w:val="20"/>
          <w:szCs w:val="20"/>
          <w:color w:val="auto"/>
        </w:rPr>
      </w:pPr>
    </w:p>
    <w:p>
      <w:pPr>
        <w:jc w:val="right"/>
        <w:ind w:right="20"/>
        <w:spacing w:after="0"/>
        <w:rPr>
          <w:sz w:val="20"/>
          <w:szCs w:val="20"/>
          <w:color w:val="auto"/>
        </w:rPr>
      </w:pPr>
      <w:r>
        <w:rPr>
          <w:rFonts w:ascii="Arial" w:cs="Arial" w:eastAsia="Arial" w:hAnsi="Arial"/>
          <w:sz w:val="17"/>
          <w:szCs w:val="17"/>
          <w:b w:val="1"/>
          <w:bCs w:val="1"/>
          <w:color w:val="auto"/>
        </w:rPr>
        <w:t>10.6%</w:t>
      </w:r>
    </w:p>
    <w:p>
      <w:pPr>
        <w:spacing w:after="0" w:line="75"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1.1%</w:t>
      </w:r>
    </w:p>
    <w:p>
      <w:pPr>
        <w:spacing w:after="0" w:line="63"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3.3%</w:t>
      </w:r>
    </w:p>
    <w:p>
      <w:pPr>
        <w:spacing w:after="0" w:line="63"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2.0%</w:t>
      </w:r>
    </w:p>
    <w:p>
      <w:pPr>
        <w:spacing w:after="0" w:line="63"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0.2%</w:t>
      </w:r>
    </w:p>
    <w:p>
      <w:pPr>
        <w:spacing w:after="0" w:line="63"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0.2%</w:t>
      </w:r>
    </w:p>
    <w:p>
      <w:pPr>
        <w:spacing w:after="0" w:line="77" w:lineRule="exact"/>
        <w:rPr>
          <w:sz w:val="20"/>
          <w:szCs w:val="20"/>
          <w:color w:val="auto"/>
        </w:rPr>
      </w:pPr>
    </w:p>
    <w:p>
      <w:pPr>
        <w:jc w:val="right"/>
        <w:ind w:right="20"/>
        <w:spacing w:after="0"/>
        <w:rPr>
          <w:sz w:val="20"/>
          <w:szCs w:val="20"/>
          <w:color w:val="auto"/>
        </w:rPr>
      </w:pPr>
      <w:r>
        <w:rPr>
          <w:rFonts w:ascii="Arial" w:cs="Arial" w:eastAsia="Arial" w:hAnsi="Arial"/>
          <w:sz w:val="17"/>
          <w:szCs w:val="17"/>
          <w:b w:val="1"/>
          <w:bCs w:val="1"/>
          <w:color w:val="auto"/>
        </w:rPr>
        <w:t>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-1804035</wp:posOffset>
            </wp:positionH>
            <wp:positionV relativeFrom="paragraph">
              <wp:posOffset>67945</wp:posOffset>
            </wp:positionV>
            <wp:extent cx="213423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13423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0000" w:space="720"/>
            <w:col w:w="520"/>
          </w:cols>
          <w:pgMar w:left="320" w:top="769" w:right="339" w:bottom="1440" w:gutter="0" w:footer="0" w:header="0"/>
          <w:type w:val="continuous"/>
        </w:sectPr>
      </w:pPr>
    </w:p>
    <w:p>
      <w:pPr>
        <w:spacing w:after="0" w:line="200" w:lineRule="exact"/>
        <w:rPr>
          <w:sz w:val="20"/>
          <w:szCs w:val="20"/>
          <w:color w:val="auto"/>
        </w:rPr>
      </w:pPr>
    </w:p>
    <w:p>
      <w:pPr>
        <w:spacing w:after="0" w:line="390" w:lineRule="exact"/>
        <w:rPr>
          <w:sz w:val="20"/>
          <w:szCs w:val="20"/>
          <w:color w:val="auto"/>
        </w:rPr>
      </w:pPr>
    </w:p>
    <w:p>
      <w:pPr>
        <w:jc w:val="center"/>
        <w:ind w:left="560"/>
        <w:spacing w:after="0"/>
        <w:rPr>
          <w:sz w:val="20"/>
          <w:szCs w:val="20"/>
          <w:color w:val="auto"/>
        </w:rPr>
      </w:pPr>
      <w:r>
        <w:rPr>
          <w:rFonts w:ascii="Arial" w:cs="Arial" w:eastAsia="Arial" w:hAnsi="Arial"/>
          <w:sz w:val="18"/>
          <w:szCs w:val="18"/>
          <w:b w:val="1"/>
          <w:bCs w:val="1"/>
          <w:color w:val="auto"/>
        </w:rPr>
        <w:t>Reconciliation of Outlook for Income from Operations Margin to Adjusted Income from</w:t>
      </w:r>
    </w:p>
    <w:p>
      <w:pPr>
        <w:spacing w:after="0" w:line="17" w:lineRule="exact"/>
        <w:rPr>
          <w:sz w:val="20"/>
          <w:szCs w:val="20"/>
          <w:color w:val="auto"/>
        </w:rPr>
      </w:pPr>
    </w:p>
    <w:p>
      <w:pPr>
        <w:jc w:val="center"/>
        <w:ind w:left="560"/>
        <w:spacing w:after="0"/>
        <w:rPr>
          <w:sz w:val="20"/>
          <w:szCs w:val="20"/>
          <w:color w:val="auto"/>
        </w:rPr>
      </w:pPr>
      <w:r>
        <w:rPr>
          <w:rFonts w:ascii="Arial" w:cs="Arial" w:eastAsia="Arial" w:hAnsi="Arial"/>
          <w:sz w:val="18"/>
          <w:szCs w:val="18"/>
          <w:b w:val="1"/>
          <w:bCs w:val="1"/>
          <w:color w:val="auto"/>
        </w:rPr>
        <w:t>Operations Margin</w:t>
      </w:r>
      <w:r>
        <w:rPr>
          <w:rFonts w:ascii="Arial" w:cs="Arial" w:eastAsia="Arial" w:hAnsi="Arial"/>
          <w:sz w:val="23"/>
          <w:szCs w:val="23"/>
          <w:b w:val="1"/>
          <w:bCs w:val="1"/>
          <w:color w:val="auto"/>
          <w:vertAlign w:val="superscript"/>
        </w:rPr>
        <w:t>8</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980" w:type="dxa"/>
            <w:vAlign w:val="bottom"/>
            <w:tcBorders>
              <w:bottom w:val="single" w:sz="8" w:color="F6F6F6"/>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560" w:type="dxa"/>
            <w:vAlign w:val="bottom"/>
            <w:tcBorders>
              <w:bottom w:val="single" w:sz="8" w:color="auto"/>
            </w:tcBorders>
            <w:gridSpan w:val="4"/>
          </w:tcPr>
          <w:p>
            <w:pPr>
              <w:jc w:val="right"/>
              <w:ind w:right="16"/>
              <w:spacing w:after="0"/>
              <w:rPr>
                <w:sz w:val="20"/>
                <w:szCs w:val="20"/>
                <w:color w:val="auto"/>
              </w:rPr>
            </w:pPr>
            <w:r>
              <w:rPr>
                <w:rFonts w:ascii="Arial" w:cs="Arial" w:eastAsia="Arial" w:hAnsi="Arial"/>
                <w:sz w:val="14"/>
                <w:szCs w:val="14"/>
                <w:b w:val="1"/>
                <w:bCs w:val="1"/>
                <w:color w:val="auto"/>
              </w:rPr>
              <w:t>Quarter ending June 30, 2026</w:t>
            </w:r>
          </w:p>
        </w:tc>
        <w:tc>
          <w:tcPr>
            <w:tcW w:w="520" w:type="dxa"/>
            <w:vAlign w:val="bottom"/>
            <w:tcBorders>
              <w:bottom w:val="single" w:sz="8" w:color="auto"/>
            </w:tcBorders>
          </w:tcPr>
          <w:p>
            <w:pPr>
              <w:spacing w:after="0"/>
              <w:rPr>
                <w:sz w:val="17"/>
                <w:szCs w:val="17"/>
                <w:color w:val="auto"/>
              </w:rPr>
            </w:pPr>
          </w:p>
        </w:tc>
      </w:tr>
      <w:tr>
        <w:trPr>
          <w:trHeight w:val="270"/>
        </w:trPr>
        <w:tc>
          <w:tcPr>
            <w:tcW w:w="7980" w:type="dxa"/>
            <w:vAlign w:val="bottom"/>
            <w:shd w:val="clear" w:color="auto" w:fill="F6F6F6"/>
          </w:tcPr>
          <w:p>
            <w:pPr>
              <w:ind w:left="20"/>
              <w:spacing w:after="0"/>
              <w:rPr>
                <w:sz w:val="20"/>
                <w:szCs w:val="20"/>
                <w:color w:val="auto"/>
              </w:rPr>
            </w:pPr>
            <w:r>
              <w:rPr>
                <w:rFonts w:ascii="Arial" w:cs="Arial" w:eastAsia="Arial" w:hAnsi="Arial"/>
                <w:sz w:val="18"/>
                <w:szCs w:val="18"/>
                <w:b w:val="1"/>
                <w:bCs w:val="1"/>
                <w:color w:val="auto"/>
              </w:rPr>
              <w:t>Income from operations margin</w:t>
            </w:r>
          </w:p>
        </w:tc>
        <w:tc>
          <w:tcPr>
            <w:tcW w:w="180" w:type="dxa"/>
            <w:vAlign w:val="bottom"/>
            <w:shd w:val="clear" w:color="auto" w:fill="F6F6F6"/>
          </w:tcPr>
          <w:p>
            <w:pPr>
              <w:spacing w:after="0"/>
              <w:rPr>
                <w:sz w:val="23"/>
                <w:szCs w:val="23"/>
                <w:color w:val="auto"/>
              </w:rPr>
            </w:pPr>
          </w:p>
        </w:tc>
        <w:tc>
          <w:tcPr>
            <w:tcW w:w="960" w:type="dxa"/>
            <w:vAlign w:val="bottom"/>
            <w:shd w:val="clear" w:color="auto" w:fill="F6F6F6"/>
          </w:tcPr>
          <w:p>
            <w:pPr>
              <w:spacing w:after="0"/>
              <w:rPr>
                <w:sz w:val="23"/>
                <w:szCs w:val="23"/>
                <w:color w:val="auto"/>
              </w:rPr>
            </w:pPr>
          </w:p>
        </w:tc>
        <w:tc>
          <w:tcPr>
            <w:tcW w:w="520" w:type="dxa"/>
            <w:vAlign w:val="bottom"/>
            <w:shd w:val="clear" w:color="auto" w:fill="F6F6F6"/>
          </w:tcPr>
          <w:p>
            <w:pPr>
              <w:spacing w:after="0"/>
              <w:rPr>
                <w:sz w:val="23"/>
                <w:szCs w:val="23"/>
                <w:color w:val="auto"/>
              </w:rPr>
            </w:pPr>
          </w:p>
        </w:tc>
        <w:tc>
          <w:tcPr>
            <w:tcW w:w="120" w:type="dxa"/>
            <w:vAlign w:val="bottom"/>
            <w:shd w:val="clear" w:color="auto" w:fill="F6F6F6"/>
          </w:tcPr>
          <w:p>
            <w:pPr>
              <w:spacing w:after="0"/>
              <w:rPr>
                <w:sz w:val="23"/>
                <w:szCs w:val="23"/>
                <w:color w:val="auto"/>
              </w:rPr>
            </w:pPr>
          </w:p>
        </w:tc>
        <w:tc>
          <w:tcPr>
            <w:tcW w:w="960" w:type="dxa"/>
            <w:vAlign w:val="bottom"/>
            <w:shd w:val="clear" w:color="auto" w:fill="F6F6F6"/>
          </w:tcPr>
          <w:p>
            <w:pPr>
              <w:spacing w:after="0"/>
              <w:rPr>
                <w:sz w:val="23"/>
                <w:szCs w:val="23"/>
                <w:color w:val="auto"/>
              </w:rPr>
            </w:pPr>
          </w:p>
        </w:tc>
        <w:tc>
          <w:tcPr>
            <w:tcW w:w="520" w:type="dxa"/>
            <w:vAlign w:val="bottom"/>
            <w:shd w:val="clear" w:color="auto" w:fill="F6F6F6"/>
          </w:tcPr>
          <w:p>
            <w:pPr>
              <w:jc w:val="right"/>
              <w:spacing w:after="0"/>
              <w:rPr>
                <w:sz w:val="20"/>
                <w:szCs w:val="20"/>
                <w:color w:val="auto"/>
              </w:rPr>
            </w:pPr>
            <w:r>
              <w:rPr>
                <w:rFonts w:ascii="Arial" w:cs="Arial" w:eastAsia="Arial" w:hAnsi="Arial"/>
                <w:sz w:val="18"/>
                <w:szCs w:val="18"/>
                <w:b w:val="1"/>
                <w:bCs w:val="1"/>
                <w:color w:val="auto"/>
                <w:w w:val="93"/>
              </w:rPr>
              <w:t>14.9%</w:t>
            </w:r>
          </w:p>
        </w:tc>
      </w:tr>
      <w:tr>
        <w:trPr>
          <w:trHeight w:val="247"/>
        </w:trPr>
        <w:tc>
          <w:tcPr>
            <w:tcW w:w="7980" w:type="dxa"/>
            <w:vAlign w:val="bottom"/>
          </w:tcPr>
          <w:p>
            <w:pPr>
              <w:ind w:left="280"/>
              <w:spacing w:after="0"/>
              <w:rPr>
                <w:sz w:val="20"/>
                <w:szCs w:val="20"/>
                <w:color w:val="auto"/>
              </w:rPr>
            </w:pPr>
            <w:r>
              <w:rPr>
                <w:rFonts w:ascii="Arial" w:cs="Arial" w:eastAsia="Arial" w:hAnsi="Arial"/>
                <w:sz w:val="18"/>
                <w:szCs w:val="18"/>
                <w:color w:val="auto"/>
              </w:rPr>
              <w:t>Estimated stock-based compensation expense</w:t>
            </w: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3"/>
        </w:trPr>
        <w:tc>
          <w:tcPr>
            <w:tcW w:w="7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50"/>
        </w:trPr>
        <w:tc>
          <w:tcPr>
            <w:tcW w:w="7980" w:type="dxa"/>
            <w:vAlign w:val="bottom"/>
            <w:tcBorders>
              <w:bottom w:val="single" w:sz="8" w:color="F6F6F6"/>
            </w:tcBorders>
            <w:shd w:val="clear" w:color="auto" w:fill="F6F6F6"/>
          </w:tcPr>
          <w:p>
            <w:pPr>
              <w:ind w:left="280"/>
              <w:spacing w:after="0"/>
              <w:rPr>
                <w:sz w:val="20"/>
                <w:szCs w:val="20"/>
                <w:color w:val="auto"/>
              </w:rPr>
            </w:pPr>
            <w:r>
              <w:rPr>
                <w:rFonts w:ascii="Arial" w:cs="Arial" w:eastAsia="Arial" w:hAnsi="Arial"/>
                <w:sz w:val="18"/>
                <w:szCs w:val="18"/>
                <w:color w:val="auto"/>
              </w:rPr>
              <w:t>Estimated amortization of acquired intangible assets</w:t>
            </w:r>
          </w:p>
        </w:tc>
        <w:tc>
          <w:tcPr>
            <w:tcW w:w="180" w:type="dxa"/>
            <w:vAlign w:val="bottom"/>
            <w:tcBorders>
              <w:bottom w:val="single" w:sz="8" w:color="F6F6F6"/>
            </w:tcBorders>
            <w:shd w:val="clear" w:color="auto" w:fill="F6F6F6"/>
          </w:tcPr>
          <w:p>
            <w:pPr>
              <w:spacing w:after="0"/>
              <w:rPr>
                <w:sz w:val="21"/>
                <w:szCs w:val="21"/>
                <w:color w:val="auto"/>
              </w:rPr>
            </w:pPr>
          </w:p>
        </w:tc>
        <w:tc>
          <w:tcPr>
            <w:tcW w:w="960" w:type="dxa"/>
            <w:vAlign w:val="bottom"/>
            <w:tcBorders>
              <w:bottom w:val="single" w:sz="8" w:color="F6F6F6"/>
            </w:tcBorders>
            <w:shd w:val="clear" w:color="auto" w:fill="F6F6F6"/>
          </w:tcPr>
          <w:p>
            <w:pPr>
              <w:spacing w:after="0"/>
              <w:rPr>
                <w:sz w:val="21"/>
                <w:szCs w:val="21"/>
                <w:color w:val="auto"/>
              </w:rPr>
            </w:pPr>
          </w:p>
        </w:tc>
        <w:tc>
          <w:tcPr>
            <w:tcW w:w="520" w:type="dxa"/>
            <w:vAlign w:val="bottom"/>
            <w:tcBorders>
              <w:bottom w:val="single" w:sz="8" w:color="F6F6F6"/>
            </w:tcBorders>
            <w:shd w:val="clear" w:color="auto" w:fill="F6F6F6"/>
          </w:tcPr>
          <w:p>
            <w:pPr>
              <w:spacing w:after="0"/>
              <w:rPr>
                <w:sz w:val="21"/>
                <w:szCs w:val="21"/>
                <w:color w:val="auto"/>
              </w:rPr>
            </w:pPr>
          </w:p>
        </w:tc>
        <w:tc>
          <w:tcPr>
            <w:tcW w:w="120" w:type="dxa"/>
            <w:vAlign w:val="bottom"/>
            <w:tcBorders>
              <w:bottom w:val="single" w:sz="8" w:color="F6F6F6"/>
            </w:tcBorders>
            <w:shd w:val="clear" w:color="auto" w:fill="F6F6F6"/>
          </w:tcPr>
          <w:p>
            <w:pPr>
              <w:spacing w:after="0"/>
              <w:rPr>
                <w:sz w:val="21"/>
                <w:szCs w:val="21"/>
                <w:color w:val="auto"/>
              </w:rPr>
            </w:pPr>
          </w:p>
        </w:tc>
        <w:tc>
          <w:tcPr>
            <w:tcW w:w="960" w:type="dxa"/>
            <w:vAlign w:val="bottom"/>
            <w:tcBorders>
              <w:bottom w:val="single" w:sz="8" w:color="F6F6F6"/>
            </w:tcBorders>
            <w:shd w:val="clear" w:color="auto" w:fill="F6F6F6"/>
          </w:tcPr>
          <w:p>
            <w:pPr>
              <w:spacing w:after="0"/>
              <w:rPr>
                <w:sz w:val="21"/>
                <w:szCs w:val="21"/>
                <w:color w:val="auto"/>
              </w:rPr>
            </w:pPr>
          </w:p>
        </w:tc>
        <w:tc>
          <w:tcPr>
            <w:tcW w:w="520" w:type="dxa"/>
            <w:vAlign w:val="bottom"/>
            <w:tcBorders>
              <w:bottom w:val="single" w:sz="8" w:color="F6F6F6"/>
            </w:tcBorders>
            <w:shd w:val="clear" w:color="auto" w:fill="F6F6F6"/>
          </w:tcPr>
          <w:p>
            <w:pPr>
              <w:jc w:val="right"/>
              <w:spacing w:after="0"/>
              <w:rPr>
                <w:sz w:val="20"/>
                <w:szCs w:val="20"/>
                <w:color w:val="auto"/>
              </w:rPr>
            </w:pPr>
            <w:r>
              <w:rPr>
                <w:rFonts w:ascii="Arial" w:cs="Arial" w:eastAsia="Arial" w:hAnsi="Arial"/>
                <w:sz w:val="18"/>
                <w:szCs w:val="18"/>
                <w:color w:val="auto"/>
              </w:rPr>
              <w:t>0.2%</w:t>
            </w:r>
          </w:p>
        </w:tc>
      </w:tr>
      <w:tr>
        <w:trPr>
          <w:trHeight w:val="247"/>
        </w:trPr>
        <w:tc>
          <w:tcPr>
            <w:tcW w:w="7980" w:type="dxa"/>
            <w:vAlign w:val="bottom"/>
          </w:tcPr>
          <w:p>
            <w:pPr>
              <w:ind w:left="280"/>
              <w:spacing w:after="0"/>
              <w:rPr>
                <w:sz w:val="20"/>
                <w:szCs w:val="20"/>
                <w:color w:val="auto"/>
              </w:rPr>
            </w:pPr>
            <w:r>
              <w:rPr>
                <w:rFonts w:ascii="Arial" w:cs="Arial" w:eastAsia="Arial" w:hAnsi="Arial"/>
                <w:sz w:val="18"/>
                <w:szCs w:val="18"/>
                <w:color w:val="auto"/>
              </w:rPr>
              <w:t>Estimated other income (expense), net</w:t>
            </w: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0.3%</w:t>
            </w:r>
          </w:p>
        </w:tc>
      </w:tr>
      <w:tr>
        <w:trPr>
          <w:trHeight w:val="23"/>
        </w:trPr>
        <w:tc>
          <w:tcPr>
            <w:tcW w:w="7980" w:type="dxa"/>
            <w:vAlign w:val="bottom"/>
            <w:tcBorders>
              <w:bottom w:val="single" w:sz="8" w:color="F6F6F6"/>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282"/>
        </w:trPr>
        <w:tc>
          <w:tcPr>
            <w:tcW w:w="7980" w:type="dxa"/>
            <w:vAlign w:val="bottom"/>
            <w:tcBorders>
              <w:bottom w:val="single" w:sz="8" w:color="F6F6F6"/>
            </w:tcBorders>
            <w:shd w:val="clear" w:color="auto" w:fill="F6F6F6"/>
          </w:tcPr>
          <w:p>
            <w:pPr>
              <w:ind w:left="20"/>
              <w:spacing w:after="0"/>
              <w:rPr>
                <w:sz w:val="20"/>
                <w:szCs w:val="20"/>
                <w:color w:val="auto"/>
              </w:rPr>
            </w:pPr>
            <w:r>
              <w:rPr>
                <w:rFonts w:ascii="Arial" w:cs="Arial" w:eastAsia="Arial" w:hAnsi="Arial"/>
                <w:sz w:val="18"/>
                <w:szCs w:val="18"/>
                <w:b w:val="1"/>
                <w:bCs w:val="1"/>
                <w:color w:val="auto"/>
              </w:rPr>
              <w:t>Adjusted income from operations margin</w:t>
            </w:r>
          </w:p>
        </w:tc>
        <w:tc>
          <w:tcPr>
            <w:tcW w:w="180" w:type="dxa"/>
            <w:vAlign w:val="bottom"/>
            <w:tcBorders>
              <w:bottom w:val="single" w:sz="8" w:color="auto"/>
            </w:tcBorders>
            <w:shd w:val="clear" w:color="auto" w:fill="F6F6F6"/>
          </w:tcPr>
          <w:p>
            <w:pPr>
              <w:spacing w:after="0"/>
              <w:rPr>
                <w:sz w:val="24"/>
                <w:szCs w:val="24"/>
                <w:color w:val="auto"/>
              </w:rPr>
            </w:pPr>
          </w:p>
        </w:tc>
        <w:tc>
          <w:tcPr>
            <w:tcW w:w="960" w:type="dxa"/>
            <w:vAlign w:val="bottom"/>
            <w:tcBorders>
              <w:bottom w:val="single" w:sz="8" w:color="auto"/>
            </w:tcBorders>
            <w:shd w:val="clear" w:color="auto" w:fill="F6F6F6"/>
          </w:tcPr>
          <w:p>
            <w:pPr>
              <w:spacing w:after="0"/>
              <w:rPr>
                <w:sz w:val="24"/>
                <w:szCs w:val="24"/>
                <w:color w:val="auto"/>
              </w:rPr>
            </w:pPr>
          </w:p>
        </w:tc>
        <w:tc>
          <w:tcPr>
            <w:tcW w:w="520" w:type="dxa"/>
            <w:vAlign w:val="bottom"/>
            <w:tcBorders>
              <w:bottom w:val="single" w:sz="8" w:color="auto"/>
            </w:tcBorders>
            <w:shd w:val="clear" w:color="auto" w:fill="F6F6F6"/>
          </w:tcPr>
          <w:p>
            <w:pPr>
              <w:spacing w:after="0"/>
              <w:rPr>
                <w:sz w:val="24"/>
                <w:szCs w:val="24"/>
                <w:color w:val="auto"/>
              </w:rPr>
            </w:pPr>
          </w:p>
        </w:tc>
        <w:tc>
          <w:tcPr>
            <w:tcW w:w="120" w:type="dxa"/>
            <w:vAlign w:val="bottom"/>
            <w:tcBorders>
              <w:bottom w:val="single" w:sz="8" w:color="auto"/>
            </w:tcBorders>
            <w:shd w:val="clear" w:color="auto" w:fill="F6F6F6"/>
          </w:tcPr>
          <w:p>
            <w:pPr>
              <w:spacing w:after="0"/>
              <w:rPr>
                <w:sz w:val="24"/>
                <w:szCs w:val="24"/>
                <w:color w:val="auto"/>
              </w:rPr>
            </w:pPr>
          </w:p>
        </w:tc>
        <w:tc>
          <w:tcPr>
            <w:tcW w:w="960" w:type="dxa"/>
            <w:vAlign w:val="bottom"/>
            <w:tcBorders>
              <w:bottom w:val="single" w:sz="8" w:color="auto"/>
            </w:tcBorders>
            <w:shd w:val="clear" w:color="auto" w:fill="F6F6F6"/>
          </w:tcPr>
          <w:p>
            <w:pPr>
              <w:spacing w:after="0"/>
              <w:rPr>
                <w:sz w:val="24"/>
                <w:szCs w:val="24"/>
                <w:color w:val="auto"/>
              </w:rPr>
            </w:pPr>
          </w:p>
        </w:tc>
        <w:tc>
          <w:tcPr>
            <w:tcW w:w="520" w:type="dxa"/>
            <w:vAlign w:val="bottom"/>
            <w:tcBorders>
              <w:bottom w:val="single" w:sz="8" w:color="auto"/>
            </w:tcBorders>
            <w:shd w:val="clear" w:color="auto" w:fill="F6F6F6"/>
          </w:tcPr>
          <w:p>
            <w:pPr>
              <w:jc w:val="right"/>
              <w:spacing w:after="0"/>
              <w:rPr>
                <w:sz w:val="20"/>
                <w:szCs w:val="20"/>
                <w:color w:val="auto"/>
              </w:rPr>
            </w:pPr>
            <w:r>
              <w:rPr>
                <w:rFonts w:ascii="Arial" w:cs="Arial" w:eastAsia="Arial" w:hAnsi="Arial"/>
                <w:sz w:val="18"/>
                <w:szCs w:val="18"/>
                <w:b w:val="1"/>
                <w:bCs w:val="1"/>
                <w:color w:val="auto"/>
                <w:w w:val="93"/>
              </w:rPr>
              <w:t>17.4%</w:t>
            </w:r>
          </w:p>
        </w:tc>
      </w:tr>
      <w:tr>
        <w:trPr>
          <w:trHeight w:val="20"/>
        </w:trPr>
        <w:tc>
          <w:tcPr>
            <w:tcW w:w="7980" w:type="dxa"/>
            <w:vAlign w:val="bottom"/>
            <w:tcBorders>
              <w:top w:val="single" w:sz="8" w:color="F6F6F6"/>
            </w:tcBorders>
          </w:tcPr>
          <w:p>
            <w:pPr>
              <w:spacing w:after="0" w:line="20" w:lineRule="exact"/>
              <w:rPr>
                <w:sz w:val="1"/>
                <w:szCs w:val="1"/>
                <w:color w:val="auto"/>
              </w:rPr>
            </w:pPr>
          </w:p>
        </w:tc>
        <w:tc>
          <w:tcPr>
            <w:tcW w:w="180" w:type="dxa"/>
            <w:vAlign w:val="bottom"/>
            <w:tcBorders>
              <w:top w:val="single" w:sz="8" w:color="F6F6F6"/>
              <w:bottom w:val="single" w:sz="8" w:color="auto"/>
            </w:tcBorders>
          </w:tcPr>
          <w:p>
            <w:pPr>
              <w:spacing w:after="0" w:line="20" w:lineRule="exact"/>
              <w:rPr>
                <w:sz w:val="1"/>
                <w:szCs w:val="1"/>
                <w:color w:val="auto"/>
              </w:rPr>
            </w:pPr>
          </w:p>
        </w:tc>
        <w:tc>
          <w:tcPr>
            <w:tcW w:w="960" w:type="dxa"/>
            <w:vAlign w:val="bottom"/>
            <w:tcBorders>
              <w:top w:val="single" w:sz="8" w:color="F6F6F6"/>
              <w:bottom w:val="single" w:sz="8" w:color="auto"/>
            </w:tcBorders>
          </w:tcPr>
          <w:p>
            <w:pPr>
              <w:spacing w:after="0" w:line="20" w:lineRule="exact"/>
              <w:rPr>
                <w:sz w:val="1"/>
                <w:szCs w:val="1"/>
                <w:color w:val="auto"/>
              </w:rPr>
            </w:pPr>
          </w:p>
        </w:tc>
        <w:tc>
          <w:tcPr>
            <w:tcW w:w="520" w:type="dxa"/>
            <w:vAlign w:val="bottom"/>
            <w:tcBorders>
              <w:top w:val="single" w:sz="8" w:color="F6F6F6"/>
              <w:bottom w:val="single" w:sz="8" w:color="auto"/>
            </w:tcBorders>
          </w:tcPr>
          <w:p>
            <w:pPr>
              <w:spacing w:after="0" w:line="20" w:lineRule="exact"/>
              <w:rPr>
                <w:sz w:val="1"/>
                <w:szCs w:val="1"/>
                <w:color w:val="auto"/>
              </w:rPr>
            </w:pPr>
          </w:p>
        </w:tc>
        <w:tc>
          <w:tcPr>
            <w:tcW w:w="120" w:type="dxa"/>
            <w:vAlign w:val="bottom"/>
            <w:tcBorders>
              <w:top w:val="single" w:sz="8" w:color="F6F6F6"/>
              <w:bottom w:val="single" w:sz="8" w:color="auto"/>
            </w:tcBorders>
          </w:tcPr>
          <w:p>
            <w:pPr>
              <w:spacing w:after="0" w:line="20" w:lineRule="exact"/>
              <w:rPr>
                <w:sz w:val="1"/>
                <w:szCs w:val="1"/>
                <w:color w:val="auto"/>
              </w:rPr>
            </w:pPr>
          </w:p>
        </w:tc>
        <w:tc>
          <w:tcPr>
            <w:tcW w:w="960" w:type="dxa"/>
            <w:vAlign w:val="bottom"/>
            <w:tcBorders>
              <w:top w:val="single" w:sz="8" w:color="F6F6F6"/>
              <w:bottom w:val="single" w:sz="8" w:color="auto"/>
            </w:tcBorders>
          </w:tcPr>
          <w:p>
            <w:pPr>
              <w:spacing w:after="0" w:line="20" w:lineRule="exact"/>
              <w:rPr>
                <w:sz w:val="1"/>
                <w:szCs w:val="1"/>
                <w:color w:val="auto"/>
              </w:rPr>
            </w:pPr>
          </w:p>
        </w:tc>
        <w:tc>
          <w:tcPr>
            <w:tcW w:w="520" w:type="dxa"/>
            <w:vAlign w:val="bottom"/>
            <w:tcBorders>
              <w:top w:val="single" w:sz="8" w:color="F6F6F6"/>
              <w:bottom w:val="single" w:sz="8" w:color="auto"/>
            </w:tcBorders>
          </w:tcPr>
          <w:p>
            <w:pPr>
              <w:spacing w:after="0" w:line="20" w:lineRule="exact"/>
              <w:rPr>
                <w:sz w:val="1"/>
                <w:szCs w:val="1"/>
                <w:color w:val="auto"/>
              </w:rPr>
            </w:pPr>
          </w:p>
        </w:tc>
      </w:tr>
      <w:tr>
        <w:trPr>
          <w:trHeight w:val="691"/>
        </w:trPr>
        <w:tc>
          <w:tcPr>
            <w:tcW w:w="9120" w:type="dxa"/>
            <w:vAlign w:val="bottom"/>
            <w:gridSpan w:val="3"/>
          </w:tcPr>
          <w:p>
            <w:pPr>
              <w:ind w:left="2760"/>
              <w:spacing w:after="0"/>
              <w:rPr>
                <w:sz w:val="20"/>
                <w:szCs w:val="20"/>
                <w:color w:val="auto"/>
              </w:rPr>
            </w:pPr>
            <w:r>
              <w:rPr>
                <w:rFonts w:ascii="Arial" w:cs="Arial" w:eastAsia="Arial" w:hAnsi="Arial"/>
                <w:sz w:val="18"/>
                <w:szCs w:val="18"/>
                <w:b w:val="1"/>
                <w:bCs w:val="1"/>
                <w:color w:val="auto"/>
              </w:rPr>
              <w:t>Reconciliation of Outlook for Diluted EPS to Adjusted Diluted EPS</w:t>
            </w:r>
            <w:r>
              <w:rPr>
                <w:rFonts w:ascii="Arial" w:cs="Arial" w:eastAsia="Arial" w:hAnsi="Arial"/>
                <w:sz w:val="23"/>
                <w:szCs w:val="23"/>
                <w:b w:val="1"/>
                <w:bCs w:val="1"/>
                <w:color w:val="auto"/>
                <w:vertAlign w:val="superscript"/>
              </w:rPr>
              <w:t>8</w:t>
            </w: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239"/>
        </w:trPr>
        <w:tc>
          <w:tcPr>
            <w:tcW w:w="7980" w:type="dxa"/>
            <w:vAlign w:val="bottom"/>
          </w:tcPr>
          <w:p>
            <w:pPr>
              <w:ind w:left="4980"/>
              <w:spacing w:after="0"/>
              <w:rPr>
                <w:sz w:val="20"/>
                <w:szCs w:val="20"/>
                <w:color w:val="auto"/>
              </w:rPr>
            </w:pPr>
            <w:r>
              <w:rPr>
                <w:rFonts w:ascii="Arial" w:cs="Arial" w:eastAsia="Arial" w:hAnsi="Arial"/>
                <w:sz w:val="18"/>
                <w:szCs w:val="18"/>
                <w:color w:val="auto"/>
              </w:rPr>
              <w:t>(Per share data)</w:t>
            </w: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489"/>
        </w:trPr>
        <w:tc>
          <w:tcPr>
            <w:tcW w:w="7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5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Quarter ending June 30, 2026</w:t>
            </w:r>
          </w:p>
        </w:tc>
        <w:tc>
          <w:tcPr>
            <w:tcW w:w="520" w:type="dxa"/>
            <w:vAlign w:val="bottom"/>
            <w:tcBorders>
              <w:bottom w:val="single" w:sz="8" w:color="auto"/>
            </w:tcBorders>
          </w:tcPr>
          <w:p>
            <w:pPr>
              <w:spacing w:after="0"/>
              <w:rPr>
                <w:sz w:val="24"/>
                <w:szCs w:val="24"/>
                <w:color w:val="auto"/>
              </w:rPr>
            </w:pPr>
          </w:p>
        </w:tc>
      </w:tr>
      <w:tr>
        <w:trPr>
          <w:trHeight w:val="223"/>
        </w:trPr>
        <w:tc>
          <w:tcPr>
            <w:tcW w:w="7980" w:type="dxa"/>
            <w:vAlign w:val="bottom"/>
            <w:tcBorders>
              <w:bottom w:val="single" w:sz="8" w:color="F6F6F6"/>
            </w:tcBorders>
          </w:tcPr>
          <w:p>
            <w:pPr>
              <w:spacing w:after="0"/>
              <w:rPr>
                <w:sz w:val="19"/>
                <w:szCs w:val="19"/>
                <w:color w:val="auto"/>
              </w:rPr>
            </w:pPr>
          </w:p>
        </w:tc>
        <w:tc>
          <w:tcPr>
            <w:tcW w:w="180" w:type="dxa"/>
            <w:vAlign w:val="bottom"/>
            <w:tcBorders>
              <w:bottom w:val="single" w:sz="8" w:color="F6F6F6"/>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Lower</w:t>
            </w:r>
          </w:p>
        </w:tc>
        <w:tc>
          <w:tcPr>
            <w:tcW w:w="520" w:type="dxa"/>
            <w:vAlign w:val="bottom"/>
            <w:tcBorders>
              <w:bottom w:val="single" w:sz="8" w:color="auto"/>
            </w:tcBorders>
          </w:tcPr>
          <w:p>
            <w:pPr>
              <w:spacing w:after="0"/>
              <w:rPr>
                <w:sz w:val="19"/>
                <w:szCs w:val="19"/>
                <w:color w:val="auto"/>
              </w:rPr>
            </w:pPr>
          </w:p>
        </w:tc>
        <w:tc>
          <w:tcPr>
            <w:tcW w:w="120" w:type="dxa"/>
            <w:vAlign w:val="bottom"/>
            <w:tcBorders>
              <w:bottom w:val="single" w:sz="8" w:color="F6F6F6"/>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Upper</w:t>
            </w:r>
          </w:p>
        </w:tc>
        <w:tc>
          <w:tcPr>
            <w:tcW w:w="520" w:type="dxa"/>
            <w:vAlign w:val="bottom"/>
            <w:tcBorders>
              <w:bottom w:val="single" w:sz="8" w:color="auto"/>
            </w:tcBorders>
          </w:tcPr>
          <w:p>
            <w:pPr>
              <w:spacing w:after="0"/>
              <w:rPr>
                <w:sz w:val="19"/>
                <w:szCs w:val="19"/>
                <w:color w:val="auto"/>
              </w:rPr>
            </w:pPr>
          </w:p>
        </w:tc>
      </w:tr>
      <w:tr>
        <w:trPr>
          <w:trHeight w:val="270"/>
        </w:trPr>
        <w:tc>
          <w:tcPr>
            <w:tcW w:w="7980" w:type="dxa"/>
            <w:vAlign w:val="bottom"/>
            <w:shd w:val="clear" w:color="auto" w:fill="F6F6F6"/>
          </w:tcPr>
          <w:p>
            <w:pPr>
              <w:ind w:left="20"/>
              <w:spacing w:after="0"/>
              <w:rPr>
                <w:sz w:val="20"/>
                <w:szCs w:val="20"/>
                <w:color w:val="auto"/>
              </w:rPr>
            </w:pPr>
            <w:r>
              <w:rPr>
                <w:rFonts w:ascii="Arial" w:cs="Arial" w:eastAsia="Arial" w:hAnsi="Arial"/>
                <w:sz w:val="18"/>
                <w:szCs w:val="18"/>
                <w:b w:val="1"/>
                <w:bCs w:val="1"/>
                <w:color w:val="auto"/>
              </w:rPr>
              <w:t>Diluted EPS</w:t>
            </w:r>
          </w:p>
        </w:tc>
        <w:tc>
          <w:tcPr>
            <w:tcW w:w="1140" w:type="dxa"/>
            <w:vAlign w:val="bottom"/>
            <w:gridSpan w:val="2"/>
            <w:shd w:val="clear" w:color="auto" w:fill="F6F6F6"/>
          </w:tcPr>
          <w:p>
            <w:pPr>
              <w:jc w:val="right"/>
              <w:ind w:right="764"/>
              <w:spacing w:after="0"/>
              <w:rPr>
                <w:sz w:val="20"/>
                <w:szCs w:val="20"/>
                <w:color w:val="auto"/>
              </w:rPr>
            </w:pPr>
            <w:r>
              <w:rPr>
                <w:rFonts w:ascii="Arial" w:cs="Arial" w:eastAsia="Arial" w:hAnsi="Arial"/>
                <w:sz w:val="18"/>
                <w:szCs w:val="18"/>
                <w:b w:val="1"/>
                <w:bCs w:val="1"/>
                <w:color w:val="auto"/>
              </w:rPr>
              <w:t>$</w:t>
            </w:r>
          </w:p>
        </w:tc>
        <w:tc>
          <w:tcPr>
            <w:tcW w:w="520" w:type="dxa"/>
            <w:vAlign w:val="bottom"/>
            <w:shd w:val="clear" w:color="auto" w:fill="F6F6F6"/>
          </w:tcPr>
          <w:p>
            <w:pPr>
              <w:jc w:val="right"/>
              <w:spacing w:after="0"/>
              <w:rPr>
                <w:sz w:val="20"/>
                <w:szCs w:val="20"/>
                <w:color w:val="auto"/>
              </w:rPr>
            </w:pPr>
            <w:r>
              <w:rPr>
                <w:rFonts w:ascii="Arial" w:cs="Arial" w:eastAsia="Arial" w:hAnsi="Arial"/>
                <w:sz w:val="18"/>
                <w:szCs w:val="18"/>
                <w:b w:val="1"/>
                <w:bCs w:val="1"/>
                <w:color w:val="auto"/>
              </w:rPr>
              <w:t>0.82</w:t>
            </w:r>
          </w:p>
        </w:tc>
        <w:tc>
          <w:tcPr>
            <w:tcW w:w="120" w:type="dxa"/>
            <w:vAlign w:val="bottom"/>
            <w:shd w:val="clear" w:color="auto" w:fill="F6F6F6"/>
          </w:tcPr>
          <w:p>
            <w:pPr>
              <w:spacing w:after="0"/>
              <w:rPr>
                <w:sz w:val="23"/>
                <w:szCs w:val="23"/>
                <w:color w:val="auto"/>
              </w:rPr>
            </w:pPr>
          </w:p>
        </w:tc>
        <w:tc>
          <w:tcPr>
            <w:tcW w:w="960" w:type="dxa"/>
            <w:vAlign w:val="bottom"/>
            <w:shd w:val="clear" w:color="auto" w:fill="F6F6F6"/>
          </w:tcPr>
          <w:p>
            <w:pPr>
              <w:jc w:val="right"/>
              <w:ind w:right="756"/>
              <w:spacing w:after="0"/>
              <w:rPr>
                <w:sz w:val="20"/>
                <w:szCs w:val="20"/>
                <w:color w:val="auto"/>
              </w:rPr>
            </w:pPr>
            <w:r>
              <w:rPr>
                <w:rFonts w:ascii="Arial" w:cs="Arial" w:eastAsia="Arial" w:hAnsi="Arial"/>
                <w:sz w:val="18"/>
                <w:szCs w:val="18"/>
                <w:b w:val="1"/>
                <w:bCs w:val="1"/>
                <w:color w:val="auto"/>
                <w:w w:val="99"/>
              </w:rPr>
              <w:t>$</w:t>
            </w:r>
          </w:p>
        </w:tc>
        <w:tc>
          <w:tcPr>
            <w:tcW w:w="520" w:type="dxa"/>
            <w:vAlign w:val="bottom"/>
            <w:shd w:val="clear" w:color="auto" w:fill="F6F6F6"/>
          </w:tcPr>
          <w:p>
            <w:pPr>
              <w:jc w:val="right"/>
              <w:spacing w:after="0"/>
              <w:rPr>
                <w:sz w:val="20"/>
                <w:szCs w:val="20"/>
                <w:color w:val="auto"/>
              </w:rPr>
            </w:pPr>
            <w:r>
              <w:rPr>
                <w:rFonts w:ascii="Arial" w:cs="Arial" w:eastAsia="Arial" w:hAnsi="Arial"/>
                <w:sz w:val="18"/>
                <w:szCs w:val="18"/>
                <w:b w:val="1"/>
                <w:bCs w:val="1"/>
                <w:color w:val="auto"/>
              </w:rPr>
              <w:t>0.82</w:t>
            </w:r>
          </w:p>
        </w:tc>
      </w:tr>
      <w:tr>
        <w:trPr>
          <w:trHeight w:val="247"/>
        </w:trPr>
        <w:tc>
          <w:tcPr>
            <w:tcW w:w="7980" w:type="dxa"/>
            <w:vAlign w:val="bottom"/>
          </w:tcPr>
          <w:p>
            <w:pPr>
              <w:ind w:left="280"/>
              <w:spacing w:after="0"/>
              <w:rPr>
                <w:sz w:val="20"/>
                <w:szCs w:val="20"/>
                <w:color w:val="auto"/>
              </w:rPr>
            </w:pPr>
            <w:r>
              <w:rPr>
                <w:rFonts w:ascii="Arial" w:cs="Arial" w:eastAsia="Arial" w:hAnsi="Arial"/>
                <w:sz w:val="18"/>
                <w:szCs w:val="18"/>
                <w:color w:val="auto"/>
              </w:rPr>
              <w:t>Estimated stock-based compensation expense</w:t>
            </w: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0.15</w:t>
            </w: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0.15</w:t>
            </w:r>
          </w:p>
        </w:tc>
      </w:tr>
      <w:tr>
        <w:trPr>
          <w:trHeight w:val="23"/>
        </w:trPr>
        <w:tc>
          <w:tcPr>
            <w:tcW w:w="7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50"/>
        </w:trPr>
        <w:tc>
          <w:tcPr>
            <w:tcW w:w="7980" w:type="dxa"/>
            <w:vAlign w:val="bottom"/>
            <w:tcBorders>
              <w:bottom w:val="single" w:sz="8" w:color="F6F6F6"/>
            </w:tcBorders>
            <w:shd w:val="clear" w:color="auto" w:fill="F6F6F6"/>
          </w:tcPr>
          <w:p>
            <w:pPr>
              <w:ind w:left="280"/>
              <w:spacing w:after="0"/>
              <w:rPr>
                <w:sz w:val="20"/>
                <w:szCs w:val="20"/>
                <w:color w:val="auto"/>
              </w:rPr>
            </w:pPr>
            <w:r>
              <w:rPr>
                <w:rFonts w:ascii="Arial" w:cs="Arial" w:eastAsia="Arial" w:hAnsi="Arial"/>
                <w:sz w:val="18"/>
                <w:szCs w:val="18"/>
                <w:color w:val="auto"/>
              </w:rPr>
              <w:t>Estimated amortization of acquired intangible assets</w:t>
            </w:r>
          </w:p>
        </w:tc>
        <w:tc>
          <w:tcPr>
            <w:tcW w:w="180" w:type="dxa"/>
            <w:vAlign w:val="bottom"/>
            <w:tcBorders>
              <w:bottom w:val="single" w:sz="8" w:color="F6F6F6"/>
            </w:tcBorders>
            <w:shd w:val="clear" w:color="auto" w:fill="F6F6F6"/>
          </w:tcPr>
          <w:p>
            <w:pPr>
              <w:spacing w:after="0"/>
              <w:rPr>
                <w:sz w:val="21"/>
                <w:szCs w:val="21"/>
                <w:color w:val="auto"/>
              </w:rPr>
            </w:pPr>
          </w:p>
        </w:tc>
        <w:tc>
          <w:tcPr>
            <w:tcW w:w="960" w:type="dxa"/>
            <w:vAlign w:val="bottom"/>
            <w:tcBorders>
              <w:bottom w:val="single" w:sz="8" w:color="F6F6F6"/>
            </w:tcBorders>
            <w:shd w:val="clear" w:color="auto" w:fill="F6F6F6"/>
          </w:tcPr>
          <w:p>
            <w:pPr>
              <w:spacing w:after="0"/>
              <w:rPr>
                <w:sz w:val="21"/>
                <w:szCs w:val="21"/>
                <w:color w:val="auto"/>
              </w:rPr>
            </w:pPr>
          </w:p>
        </w:tc>
        <w:tc>
          <w:tcPr>
            <w:tcW w:w="520" w:type="dxa"/>
            <w:vAlign w:val="bottom"/>
            <w:tcBorders>
              <w:bottom w:val="single" w:sz="8" w:color="F6F6F6"/>
            </w:tcBorders>
            <w:shd w:val="clear" w:color="auto" w:fill="F6F6F6"/>
          </w:tcPr>
          <w:p>
            <w:pPr>
              <w:jc w:val="right"/>
              <w:spacing w:after="0"/>
              <w:rPr>
                <w:sz w:val="20"/>
                <w:szCs w:val="20"/>
                <w:color w:val="auto"/>
              </w:rPr>
            </w:pPr>
            <w:r>
              <w:rPr>
                <w:rFonts w:ascii="Arial" w:cs="Arial" w:eastAsia="Arial" w:hAnsi="Arial"/>
                <w:sz w:val="18"/>
                <w:szCs w:val="18"/>
                <w:color w:val="auto"/>
              </w:rPr>
              <w:t>0.02</w:t>
            </w:r>
          </w:p>
        </w:tc>
        <w:tc>
          <w:tcPr>
            <w:tcW w:w="120" w:type="dxa"/>
            <w:vAlign w:val="bottom"/>
            <w:tcBorders>
              <w:bottom w:val="single" w:sz="8" w:color="F6F6F6"/>
            </w:tcBorders>
            <w:shd w:val="clear" w:color="auto" w:fill="F6F6F6"/>
          </w:tcPr>
          <w:p>
            <w:pPr>
              <w:spacing w:after="0"/>
              <w:rPr>
                <w:sz w:val="21"/>
                <w:szCs w:val="21"/>
                <w:color w:val="auto"/>
              </w:rPr>
            </w:pPr>
          </w:p>
        </w:tc>
        <w:tc>
          <w:tcPr>
            <w:tcW w:w="960" w:type="dxa"/>
            <w:vAlign w:val="bottom"/>
            <w:tcBorders>
              <w:bottom w:val="single" w:sz="8" w:color="F6F6F6"/>
            </w:tcBorders>
            <w:shd w:val="clear" w:color="auto" w:fill="F6F6F6"/>
          </w:tcPr>
          <w:p>
            <w:pPr>
              <w:spacing w:after="0"/>
              <w:rPr>
                <w:sz w:val="21"/>
                <w:szCs w:val="21"/>
                <w:color w:val="auto"/>
              </w:rPr>
            </w:pPr>
          </w:p>
        </w:tc>
        <w:tc>
          <w:tcPr>
            <w:tcW w:w="520" w:type="dxa"/>
            <w:vAlign w:val="bottom"/>
            <w:tcBorders>
              <w:bottom w:val="single" w:sz="8" w:color="F6F6F6"/>
            </w:tcBorders>
            <w:shd w:val="clear" w:color="auto" w:fill="F6F6F6"/>
          </w:tcPr>
          <w:p>
            <w:pPr>
              <w:jc w:val="right"/>
              <w:spacing w:after="0"/>
              <w:rPr>
                <w:sz w:val="20"/>
                <w:szCs w:val="20"/>
                <w:color w:val="auto"/>
              </w:rPr>
            </w:pPr>
            <w:r>
              <w:rPr>
                <w:rFonts w:ascii="Arial" w:cs="Arial" w:eastAsia="Arial" w:hAnsi="Arial"/>
                <w:sz w:val="18"/>
                <w:szCs w:val="18"/>
                <w:color w:val="auto"/>
              </w:rPr>
              <w:t>0.02</w:t>
            </w:r>
          </w:p>
        </w:tc>
      </w:tr>
      <w:tr>
        <w:trPr>
          <w:trHeight w:val="247"/>
        </w:trPr>
        <w:tc>
          <w:tcPr>
            <w:tcW w:w="7980" w:type="dxa"/>
            <w:vAlign w:val="bottom"/>
          </w:tcPr>
          <w:p>
            <w:pPr>
              <w:ind w:left="280"/>
              <w:spacing w:after="0"/>
              <w:rPr>
                <w:sz w:val="20"/>
                <w:szCs w:val="20"/>
                <w:color w:val="auto"/>
              </w:rPr>
            </w:pPr>
            <w:r>
              <w:rPr>
                <w:rFonts w:ascii="Arial" w:cs="Arial" w:eastAsia="Arial" w:hAnsi="Arial"/>
                <w:sz w:val="18"/>
                <w:szCs w:val="18"/>
                <w:color w:val="auto"/>
              </w:rPr>
              <w:t>Estimated tax impact on stock-based compensation expense</w:t>
            </w: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7"/>
              </w:rPr>
              <w:t>(0.02)</w:t>
            </w: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(0.02)</w:t>
            </w:r>
          </w:p>
        </w:tc>
      </w:tr>
      <w:tr>
        <w:trPr>
          <w:trHeight w:val="23"/>
        </w:trPr>
        <w:tc>
          <w:tcPr>
            <w:tcW w:w="7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70"/>
        </w:trPr>
        <w:tc>
          <w:tcPr>
            <w:tcW w:w="7980" w:type="dxa"/>
            <w:vAlign w:val="bottom"/>
            <w:tcBorders>
              <w:bottom w:val="single" w:sz="8" w:color="F6F6F6"/>
            </w:tcBorders>
            <w:shd w:val="clear" w:color="auto" w:fill="F6F6F6"/>
          </w:tcPr>
          <w:p>
            <w:pPr>
              <w:ind w:left="280"/>
              <w:spacing w:after="0"/>
              <w:rPr>
                <w:sz w:val="20"/>
                <w:szCs w:val="20"/>
                <w:color w:val="auto"/>
              </w:rPr>
            </w:pPr>
            <w:r>
              <w:rPr>
                <w:rFonts w:ascii="Arial" w:cs="Arial" w:eastAsia="Arial" w:hAnsi="Arial"/>
                <w:sz w:val="18"/>
                <w:szCs w:val="18"/>
                <w:color w:val="auto"/>
              </w:rPr>
              <w:t>Estimated tax impact on amortization of acquired intangible assets</w:t>
            </w:r>
          </w:p>
        </w:tc>
        <w:tc>
          <w:tcPr>
            <w:tcW w:w="180" w:type="dxa"/>
            <w:vAlign w:val="bottom"/>
            <w:tcBorders>
              <w:bottom w:val="single" w:sz="8" w:color="F6F6F6"/>
            </w:tcBorders>
            <w:shd w:val="clear" w:color="auto" w:fill="F6F6F6"/>
          </w:tcPr>
          <w:p>
            <w:pPr>
              <w:spacing w:after="0"/>
              <w:rPr>
                <w:sz w:val="23"/>
                <w:szCs w:val="23"/>
                <w:color w:val="auto"/>
              </w:rPr>
            </w:pPr>
          </w:p>
        </w:tc>
        <w:tc>
          <w:tcPr>
            <w:tcW w:w="960" w:type="dxa"/>
            <w:vAlign w:val="bottom"/>
            <w:tcBorders>
              <w:bottom w:val="single" w:sz="8" w:color="F6F6F6"/>
            </w:tcBorders>
            <w:shd w:val="clear" w:color="auto" w:fill="F6F6F6"/>
          </w:tcPr>
          <w:p>
            <w:pPr>
              <w:spacing w:after="0"/>
              <w:rPr>
                <w:sz w:val="23"/>
                <w:szCs w:val="23"/>
                <w:color w:val="auto"/>
              </w:rPr>
            </w:pPr>
          </w:p>
        </w:tc>
        <w:tc>
          <w:tcPr>
            <w:tcW w:w="520" w:type="dxa"/>
            <w:vAlign w:val="bottom"/>
            <w:tcBorders>
              <w:bottom w:val="single" w:sz="8" w:color="F6F6F6"/>
            </w:tcBorders>
            <w:shd w:val="clear" w:color="auto" w:fill="F6F6F6"/>
          </w:tcPr>
          <w:p>
            <w:pPr>
              <w:jc w:val="right"/>
              <w:spacing w:after="0"/>
              <w:rPr>
                <w:sz w:val="20"/>
                <w:szCs w:val="20"/>
                <w:color w:val="auto"/>
              </w:rPr>
            </w:pPr>
            <w:r>
              <w:rPr>
                <w:rFonts w:ascii="Arial" w:cs="Arial" w:eastAsia="Arial" w:hAnsi="Arial"/>
                <w:sz w:val="18"/>
                <w:szCs w:val="18"/>
                <w:color w:val="auto"/>
              </w:rPr>
              <w:t>(0.00)</w:t>
            </w:r>
          </w:p>
        </w:tc>
        <w:tc>
          <w:tcPr>
            <w:tcW w:w="120" w:type="dxa"/>
            <w:vAlign w:val="bottom"/>
            <w:tcBorders>
              <w:bottom w:val="single" w:sz="8" w:color="F6F6F6"/>
            </w:tcBorders>
            <w:shd w:val="clear" w:color="auto" w:fill="F6F6F6"/>
          </w:tcPr>
          <w:p>
            <w:pPr>
              <w:spacing w:after="0"/>
              <w:rPr>
                <w:sz w:val="23"/>
                <w:szCs w:val="23"/>
                <w:color w:val="auto"/>
              </w:rPr>
            </w:pPr>
          </w:p>
        </w:tc>
        <w:tc>
          <w:tcPr>
            <w:tcW w:w="960" w:type="dxa"/>
            <w:vAlign w:val="bottom"/>
            <w:tcBorders>
              <w:bottom w:val="single" w:sz="8" w:color="F6F6F6"/>
            </w:tcBorders>
            <w:shd w:val="clear" w:color="auto" w:fill="F6F6F6"/>
          </w:tcPr>
          <w:p>
            <w:pPr>
              <w:spacing w:after="0"/>
              <w:rPr>
                <w:sz w:val="23"/>
                <w:szCs w:val="23"/>
                <w:color w:val="auto"/>
              </w:rPr>
            </w:pPr>
          </w:p>
        </w:tc>
        <w:tc>
          <w:tcPr>
            <w:tcW w:w="520" w:type="dxa"/>
            <w:vAlign w:val="bottom"/>
            <w:tcBorders>
              <w:bottom w:val="single" w:sz="8" w:color="F6F6F6"/>
            </w:tcBorders>
            <w:shd w:val="clear" w:color="auto" w:fill="F6F6F6"/>
          </w:tcPr>
          <w:p>
            <w:pPr>
              <w:jc w:val="right"/>
              <w:spacing w:after="0"/>
              <w:rPr>
                <w:sz w:val="20"/>
                <w:szCs w:val="20"/>
                <w:color w:val="auto"/>
              </w:rPr>
            </w:pPr>
            <w:r>
              <w:rPr>
                <w:rFonts w:ascii="Arial" w:cs="Arial" w:eastAsia="Arial" w:hAnsi="Arial"/>
                <w:sz w:val="18"/>
                <w:szCs w:val="18"/>
                <w:color w:val="auto"/>
              </w:rPr>
              <w:t>(0.00)</w:t>
            </w:r>
          </w:p>
        </w:tc>
      </w:tr>
      <w:tr>
        <w:trPr>
          <w:trHeight w:val="257"/>
        </w:trPr>
        <w:tc>
          <w:tcPr>
            <w:tcW w:w="7980" w:type="dxa"/>
            <w:vAlign w:val="bottom"/>
          </w:tcPr>
          <w:p>
            <w:pPr>
              <w:ind w:left="20"/>
              <w:spacing w:after="0"/>
              <w:rPr>
                <w:sz w:val="20"/>
                <w:szCs w:val="20"/>
                <w:color w:val="auto"/>
              </w:rPr>
            </w:pPr>
            <w:r>
              <w:rPr>
                <w:rFonts w:ascii="Arial" w:cs="Arial" w:eastAsia="Arial" w:hAnsi="Arial"/>
                <w:sz w:val="18"/>
                <w:szCs w:val="18"/>
                <w:b w:val="1"/>
                <w:bCs w:val="1"/>
                <w:color w:val="auto"/>
              </w:rPr>
              <w:t>Adjusted diluted EPS</w:t>
            </w:r>
          </w:p>
        </w:tc>
        <w:tc>
          <w:tcPr>
            <w:tcW w:w="180" w:type="dxa"/>
            <w:vAlign w:val="bottom"/>
          </w:tcPr>
          <w:p>
            <w:pPr>
              <w:spacing w:after="0"/>
              <w:rPr>
                <w:sz w:val="22"/>
                <w:szCs w:val="22"/>
                <w:color w:val="auto"/>
              </w:rPr>
            </w:pPr>
          </w:p>
        </w:tc>
        <w:tc>
          <w:tcPr>
            <w:tcW w:w="960" w:type="dxa"/>
            <w:vAlign w:val="bottom"/>
            <w:tcBorders>
              <w:top w:val="single" w:sz="8" w:color="auto"/>
              <w:bottom w:val="single" w:sz="8" w:color="auto"/>
            </w:tcBorders>
          </w:tcPr>
          <w:p>
            <w:pPr>
              <w:jc w:val="right"/>
              <w:ind w:right="764"/>
              <w:spacing w:after="0"/>
              <w:rPr>
                <w:sz w:val="20"/>
                <w:szCs w:val="20"/>
                <w:color w:val="auto"/>
              </w:rPr>
            </w:pPr>
            <w:r>
              <w:rPr>
                <w:rFonts w:ascii="Arial" w:cs="Arial" w:eastAsia="Arial" w:hAnsi="Arial"/>
                <w:sz w:val="18"/>
                <w:szCs w:val="18"/>
                <w:b w:val="1"/>
                <w:bCs w:val="1"/>
                <w:color w:val="auto"/>
                <w:w w:val="9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0.96</w:t>
            </w:r>
          </w:p>
        </w:tc>
        <w:tc>
          <w:tcPr>
            <w:tcW w:w="120" w:type="dxa"/>
            <w:vAlign w:val="bottom"/>
          </w:tcPr>
          <w:p>
            <w:pPr>
              <w:spacing w:after="0"/>
              <w:rPr>
                <w:sz w:val="22"/>
                <w:szCs w:val="22"/>
                <w:color w:val="auto"/>
              </w:rPr>
            </w:pPr>
          </w:p>
        </w:tc>
        <w:tc>
          <w:tcPr>
            <w:tcW w:w="960" w:type="dxa"/>
            <w:vAlign w:val="bottom"/>
            <w:tcBorders>
              <w:top w:val="single" w:sz="8" w:color="auto"/>
              <w:bottom w:val="single" w:sz="8" w:color="auto"/>
            </w:tcBorders>
          </w:tcPr>
          <w:p>
            <w:pPr>
              <w:jc w:val="right"/>
              <w:ind w:right="756"/>
              <w:spacing w:after="0"/>
              <w:rPr>
                <w:sz w:val="20"/>
                <w:szCs w:val="20"/>
                <w:color w:val="auto"/>
              </w:rPr>
            </w:pPr>
            <w:r>
              <w:rPr>
                <w:rFonts w:ascii="Arial" w:cs="Arial" w:eastAsia="Arial" w:hAnsi="Arial"/>
                <w:sz w:val="18"/>
                <w:szCs w:val="18"/>
                <w:b w:val="1"/>
                <w:bCs w:val="1"/>
                <w:color w:val="auto"/>
                <w:w w:val="9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0.97</w:t>
            </w:r>
          </w:p>
        </w:tc>
      </w:tr>
      <w:tr>
        <w:trPr>
          <w:trHeight w:val="27"/>
        </w:trPr>
        <w:tc>
          <w:tcPr>
            <w:tcW w:w="7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179705</wp:posOffset>
            </wp:positionV>
            <wp:extent cx="171450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349" w:lineRule="exact"/>
        <w:rPr>
          <w:sz w:val="20"/>
          <w:szCs w:val="20"/>
          <w:color w:val="auto"/>
        </w:rPr>
      </w:pPr>
    </w:p>
    <w:p>
      <w:pPr>
        <w:ind w:left="100" w:hanging="92"/>
        <w:spacing w:after="0"/>
        <w:tabs>
          <w:tab w:leader="none" w:pos="100" w:val="left"/>
        </w:tabs>
        <w:numPr>
          <w:ilvl w:val="0"/>
          <w:numId w:val="10"/>
        </w:numPr>
        <w:rPr>
          <w:rFonts w:ascii="Arial" w:cs="Arial" w:eastAsia="Arial" w:hAnsi="Arial"/>
          <w:sz w:val="9"/>
          <w:szCs w:val="9"/>
          <w:color w:val="auto"/>
        </w:rPr>
      </w:pPr>
      <w:r>
        <w:rPr>
          <w:rFonts w:ascii="Arial" w:cs="Arial" w:eastAsia="Arial" w:hAnsi="Arial"/>
          <w:sz w:val="14"/>
          <w:szCs w:val="14"/>
          <w:color w:val="auto"/>
        </w:rPr>
        <w:t>Due to rounding, the numbers presented in this table may not add up precisely to the totals provided.</w:t>
      </w:r>
    </w:p>
    <w:p>
      <w:pPr>
        <w:sectPr>
          <w:pgSz w:w="11900" w:h="16838" w:orient="portrait"/>
          <w:cols w:equalWidth="0" w:num="1">
            <w:col w:w="11240"/>
          </w:cols>
          <w:pgMar w:left="320" w:top="769" w:right="339" w:bottom="1440" w:gutter="0" w:footer="0" w:header="0"/>
          <w:type w:val="continuous"/>
        </w:sectPr>
      </w:pPr>
    </w:p>
    <w:bookmarkStart w:id="14" w:name="page15"/>
    <w:bookmarkEnd w:id="14"/>
    <w:p>
      <w:pPr>
        <w:jc w:val="center"/>
        <w:spacing w:after="0"/>
        <w:rPr>
          <w:sz w:val="20"/>
          <w:szCs w:val="20"/>
          <w:color w:val="auto"/>
        </w:rPr>
      </w:pPr>
      <w:r>
        <w:rPr>
          <w:rFonts w:ascii="Arial" w:cs="Arial" w:eastAsia="Arial" w:hAnsi="Arial"/>
          <w:sz w:val="20"/>
          <w:szCs w:val="20"/>
          <w:b w:val="1"/>
          <w:bCs w:val="1"/>
          <w:color w:val="auto"/>
        </w:rPr>
        <w:t>Net Revenues from Advanced Technology Solutions and Core Business Services</w:t>
      </w:r>
      <w:r>
        <w:rPr>
          <w:rFonts w:ascii="Arial" w:cs="Arial" w:eastAsia="Arial" w:hAnsi="Arial"/>
          <w:sz w:val="25"/>
          <w:szCs w:val="25"/>
          <w:b w:val="1"/>
          <w:bCs w:val="1"/>
          <w:color w:val="auto"/>
          <w:vertAlign w:val="superscript"/>
        </w:rPr>
        <w:t>9</w:t>
      </w:r>
    </w:p>
    <w:p>
      <w:pPr>
        <w:jc w:val="center"/>
        <w:spacing w:after="0"/>
        <w:rPr>
          <w:sz w:val="20"/>
          <w:szCs w:val="20"/>
          <w:color w:val="auto"/>
        </w:rPr>
      </w:pPr>
      <w:r>
        <w:rPr>
          <w:rFonts w:ascii="Arial" w:cs="Arial" w:eastAsia="Arial" w:hAnsi="Arial"/>
          <w:sz w:val="20"/>
          <w:szCs w:val="20"/>
          <w:color w:val="auto"/>
        </w:rPr>
        <w:t>(In thousands)</w:t>
      </w:r>
    </w:p>
    <w:p>
      <w:pPr>
        <w:spacing w:after="0" w:line="286" w:lineRule="exact"/>
        <w:rPr>
          <w:sz w:val="20"/>
          <w:szCs w:val="20"/>
          <w:color w:val="auto"/>
        </w:rPr>
      </w:pPr>
    </w:p>
    <w:p>
      <w:pPr>
        <w:ind w:left="8480"/>
        <w:spacing w:after="0"/>
        <w:rPr>
          <w:sz w:val="20"/>
          <w:szCs w:val="20"/>
          <w:color w:val="auto"/>
        </w:rPr>
      </w:pPr>
      <w:r>
        <w:rPr>
          <w:rFonts w:ascii="Arial" w:cs="Arial" w:eastAsia="Arial" w:hAnsi="Arial"/>
          <w:sz w:val="16"/>
          <w:szCs w:val="16"/>
          <w:b w:val="1"/>
          <w:bCs w:val="1"/>
          <w:color w:val="auto"/>
        </w:rPr>
        <w:t>Three months ended</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60" w:type="dxa"/>
            <w:vAlign w:val="bottom"/>
          </w:tcPr>
          <w:p>
            <w:pPr>
              <w:jc w:val="right"/>
              <w:ind w:right="388"/>
              <w:spacing w:after="0"/>
              <w:rPr>
                <w:sz w:val="20"/>
                <w:szCs w:val="20"/>
                <w:color w:val="auto"/>
              </w:rPr>
            </w:pPr>
            <w:r>
              <w:rPr>
                <w:rFonts w:ascii="Arial" w:cs="Arial" w:eastAsia="Arial" w:hAnsi="Arial"/>
                <w:sz w:val="14"/>
                <w:szCs w:val="14"/>
                <w:b w:val="1"/>
                <w:bCs w:val="1"/>
                <w:color w:val="auto"/>
              </w:rPr>
              <w:t>March 31, 2025</w:t>
            </w:r>
          </w:p>
        </w:tc>
        <w:tc>
          <w:tcPr>
            <w:tcW w:w="340" w:type="dxa"/>
            <w:vAlign w:val="bottom"/>
          </w:tcPr>
          <w:p>
            <w:pPr>
              <w:spacing w:after="0"/>
              <w:rPr>
                <w:sz w:val="17"/>
                <w:szCs w:val="17"/>
                <w:color w:val="auto"/>
              </w:rPr>
            </w:pPr>
          </w:p>
        </w:tc>
        <w:tc>
          <w:tcPr>
            <w:tcW w:w="1640" w:type="dxa"/>
            <w:vAlign w:val="bottom"/>
          </w:tcPr>
          <w:p>
            <w:pPr>
              <w:jc w:val="right"/>
              <w:ind w:right="368"/>
              <w:spacing w:after="0"/>
              <w:rPr>
                <w:sz w:val="20"/>
                <w:szCs w:val="20"/>
                <w:color w:val="auto"/>
              </w:rPr>
            </w:pPr>
            <w:r>
              <w:rPr>
                <w:rFonts w:ascii="Arial" w:cs="Arial" w:eastAsia="Arial" w:hAnsi="Arial"/>
                <w:sz w:val="14"/>
                <w:szCs w:val="14"/>
                <w:b w:val="1"/>
                <w:bCs w:val="1"/>
                <w:color w:val="auto"/>
              </w:rPr>
              <w:t>March 31, 2026</w:t>
            </w:r>
          </w:p>
        </w:tc>
      </w:tr>
      <w:tr>
        <w:trPr>
          <w:trHeight w:val="217"/>
        </w:trPr>
        <w:tc>
          <w:tcPr>
            <w:tcW w:w="7320" w:type="dxa"/>
            <w:vAlign w:val="bottom"/>
            <w:tcBorders>
              <w:bottom w:val="single" w:sz="8" w:color="EDEDED"/>
            </w:tcBorders>
            <w:shd w:val="clear" w:color="auto" w:fill="EDEDED"/>
          </w:tcPr>
          <w:p>
            <w:pPr>
              <w:ind w:left="20"/>
              <w:spacing w:after="0"/>
              <w:rPr>
                <w:sz w:val="20"/>
                <w:szCs w:val="20"/>
                <w:color w:val="auto"/>
              </w:rPr>
            </w:pPr>
            <w:r>
              <w:rPr>
                <w:rFonts w:ascii="Arial" w:cs="Arial" w:eastAsia="Arial" w:hAnsi="Arial"/>
                <w:sz w:val="14"/>
                <w:szCs w:val="14"/>
                <w:color w:val="auto"/>
              </w:rPr>
              <w:t>Advanced Technology Solutions</w:t>
            </w:r>
          </w:p>
        </w:tc>
        <w:tc>
          <w:tcPr>
            <w:tcW w:w="280" w:type="dxa"/>
            <w:vAlign w:val="bottom"/>
            <w:tcBorders>
              <w:bottom w:val="single" w:sz="8" w:color="EDEDED"/>
            </w:tcBorders>
            <w:shd w:val="clear" w:color="auto" w:fill="EDEDED"/>
          </w:tcPr>
          <w:p>
            <w:pPr>
              <w:jc w:val="right"/>
              <w:ind w:right="108"/>
              <w:spacing w:after="0"/>
              <w:rPr>
                <w:sz w:val="20"/>
                <w:szCs w:val="20"/>
                <w:color w:val="auto"/>
              </w:rPr>
            </w:pPr>
            <w:r>
              <w:rPr>
                <w:rFonts w:ascii="Arial" w:cs="Arial" w:eastAsia="Arial" w:hAnsi="Arial"/>
                <w:sz w:val="14"/>
                <w:szCs w:val="14"/>
                <w:color w:val="auto"/>
              </w:rPr>
              <w:t>$</w:t>
            </w:r>
          </w:p>
        </w:tc>
        <w:tc>
          <w:tcPr>
            <w:tcW w:w="1660" w:type="dxa"/>
            <w:vAlign w:val="bottom"/>
            <w:tcBorders>
              <w:bottom w:val="single" w:sz="8" w:color="EDEDED"/>
            </w:tcBorders>
            <w:shd w:val="clear" w:color="auto" w:fill="EDEDED"/>
          </w:tcPr>
          <w:p>
            <w:pPr>
              <w:jc w:val="right"/>
              <w:ind w:right="8"/>
              <w:spacing w:after="0"/>
              <w:rPr>
                <w:sz w:val="20"/>
                <w:szCs w:val="20"/>
                <w:color w:val="auto"/>
              </w:rPr>
            </w:pPr>
            <w:r>
              <w:rPr>
                <w:rFonts w:ascii="Arial" w:cs="Arial" w:eastAsia="Arial" w:hAnsi="Arial"/>
                <w:sz w:val="14"/>
                <w:szCs w:val="14"/>
                <w:color w:val="auto"/>
              </w:rPr>
              <w:t>277,627</w:t>
            </w:r>
          </w:p>
        </w:tc>
        <w:tc>
          <w:tcPr>
            <w:tcW w:w="340" w:type="dxa"/>
            <w:vAlign w:val="bottom"/>
            <w:tcBorders>
              <w:bottom w:val="single" w:sz="8" w:color="EDEDED"/>
            </w:tcBorders>
            <w:shd w:val="clear" w:color="auto" w:fill="EDEDED"/>
          </w:tcPr>
          <w:p>
            <w:pPr>
              <w:jc w:val="right"/>
              <w:ind w:right="108"/>
              <w:spacing w:after="0"/>
              <w:rPr>
                <w:sz w:val="20"/>
                <w:szCs w:val="20"/>
                <w:color w:val="auto"/>
              </w:rPr>
            </w:pPr>
            <w:r>
              <w:rPr>
                <w:rFonts w:ascii="Arial" w:cs="Arial" w:eastAsia="Arial" w:hAnsi="Arial"/>
                <w:sz w:val="14"/>
                <w:szCs w:val="14"/>
                <w:color w:val="auto"/>
              </w:rPr>
              <w:t>$</w:t>
            </w:r>
          </w:p>
        </w:tc>
        <w:tc>
          <w:tcPr>
            <w:tcW w:w="1640" w:type="dxa"/>
            <w:vAlign w:val="bottom"/>
            <w:tcBorders>
              <w:bottom w:val="single" w:sz="8" w:color="EDEDED"/>
            </w:tcBorders>
            <w:shd w:val="clear" w:color="auto" w:fill="EDEDED"/>
          </w:tcPr>
          <w:p>
            <w:pPr>
              <w:jc w:val="right"/>
              <w:spacing w:after="0"/>
              <w:rPr>
                <w:sz w:val="20"/>
                <w:szCs w:val="20"/>
                <w:color w:val="auto"/>
              </w:rPr>
            </w:pPr>
            <w:r>
              <w:rPr>
                <w:rFonts w:ascii="Arial" w:cs="Arial" w:eastAsia="Arial" w:hAnsi="Arial"/>
                <w:sz w:val="14"/>
                <w:szCs w:val="14"/>
                <w:color w:val="auto"/>
              </w:rPr>
              <w:t>345,229</w:t>
            </w:r>
          </w:p>
        </w:tc>
      </w:tr>
      <w:tr>
        <w:trPr>
          <w:trHeight w:val="208"/>
        </w:trPr>
        <w:tc>
          <w:tcPr>
            <w:tcW w:w="7320" w:type="dxa"/>
            <w:vAlign w:val="bottom"/>
          </w:tcPr>
          <w:p>
            <w:pPr>
              <w:ind w:left="20"/>
              <w:spacing w:after="0"/>
              <w:rPr>
                <w:sz w:val="20"/>
                <w:szCs w:val="20"/>
                <w:color w:val="auto"/>
              </w:rPr>
            </w:pPr>
            <w:r>
              <w:rPr>
                <w:rFonts w:ascii="Arial" w:cs="Arial" w:eastAsia="Arial" w:hAnsi="Arial"/>
                <w:sz w:val="14"/>
                <w:szCs w:val="14"/>
                <w:color w:val="auto"/>
              </w:rPr>
              <w:t>Core Business Services</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660" w:type="dxa"/>
            <w:vAlign w:val="bottom"/>
          </w:tcPr>
          <w:p>
            <w:pPr>
              <w:jc w:val="right"/>
              <w:ind w:right="8"/>
              <w:spacing w:after="0"/>
              <w:rPr>
                <w:sz w:val="20"/>
                <w:szCs w:val="20"/>
                <w:color w:val="auto"/>
              </w:rPr>
            </w:pPr>
            <w:r>
              <w:rPr>
                <w:rFonts w:ascii="Arial" w:cs="Arial" w:eastAsia="Arial" w:hAnsi="Arial"/>
                <w:sz w:val="14"/>
                <w:szCs w:val="14"/>
                <w:color w:val="auto"/>
              </w:rPr>
              <w:t>937,299</w:t>
            </w:r>
          </w:p>
        </w:tc>
        <w:tc>
          <w:tcPr>
            <w:tcW w:w="3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640" w:type="dxa"/>
            <w:vAlign w:val="bottom"/>
          </w:tcPr>
          <w:p>
            <w:pPr>
              <w:jc w:val="right"/>
              <w:spacing w:after="0"/>
              <w:rPr>
                <w:sz w:val="20"/>
                <w:szCs w:val="20"/>
                <w:color w:val="auto"/>
              </w:rPr>
            </w:pPr>
            <w:r>
              <w:rPr>
                <w:rFonts w:ascii="Arial" w:cs="Arial" w:eastAsia="Arial" w:hAnsi="Arial"/>
                <w:sz w:val="14"/>
                <w:szCs w:val="14"/>
                <w:color w:val="auto"/>
              </w:rPr>
              <w:t>950,843</w:t>
            </w:r>
          </w:p>
        </w:tc>
      </w:tr>
      <w:tr>
        <w:trPr>
          <w:trHeight w:val="22"/>
        </w:trPr>
        <w:tc>
          <w:tcPr>
            <w:tcW w:w="7320" w:type="dxa"/>
            <w:vAlign w:val="bottom"/>
            <w:tcBorders>
              <w:bottom w:val="single" w:sz="8" w:color="EDEDED"/>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r>
        <w:trPr>
          <w:trHeight w:val="248"/>
        </w:trPr>
        <w:tc>
          <w:tcPr>
            <w:tcW w:w="7320" w:type="dxa"/>
            <w:vAlign w:val="bottom"/>
            <w:tcBorders>
              <w:bottom w:val="single" w:sz="8" w:color="EDEDED"/>
            </w:tcBorders>
            <w:shd w:val="clear" w:color="auto" w:fill="EDEDED"/>
          </w:tcPr>
          <w:p>
            <w:pPr>
              <w:ind w:left="20"/>
              <w:spacing w:after="0"/>
              <w:rPr>
                <w:sz w:val="20"/>
                <w:szCs w:val="20"/>
                <w:color w:val="auto"/>
              </w:rPr>
            </w:pPr>
            <w:r>
              <w:rPr>
                <w:rFonts w:ascii="Arial" w:cs="Arial" w:eastAsia="Arial" w:hAnsi="Arial"/>
                <w:sz w:val="14"/>
                <w:szCs w:val="14"/>
                <w:b w:val="1"/>
                <w:bCs w:val="1"/>
                <w:color w:val="auto"/>
              </w:rPr>
              <w:t>Total</w:t>
            </w:r>
          </w:p>
        </w:tc>
        <w:tc>
          <w:tcPr>
            <w:tcW w:w="280" w:type="dxa"/>
            <w:vAlign w:val="bottom"/>
            <w:tcBorders>
              <w:bottom w:val="single" w:sz="8" w:color="auto"/>
            </w:tcBorders>
            <w:shd w:val="clear" w:color="auto" w:fill="EDEDED"/>
          </w:tcPr>
          <w:p>
            <w:pPr>
              <w:jc w:val="right"/>
              <w:ind w:right="108"/>
              <w:spacing w:after="0"/>
              <w:rPr>
                <w:sz w:val="20"/>
                <w:szCs w:val="20"/>
                <w:color w:val="auto"/>
              </w:rPr>
            </w:pPr>
            <w:r>
              <w:rPr>
                <w:rFonts w:ascii="Arial" w:cs="Arial" w:eastAsia="Arial" w:hAnsi="Arial"/>
                <w:sz w:val="14"/>
                <w:szCs w:val="14"/>
                <w:b w:val="1"/>
                <w:bCs w:val="1"/>
                <w:color w:val="auto"/>
              </w:rPr>
              <w:t>$</w:t>
            </w:r>
          </w:p>
        </w:tc>
        <w:tc>
          <w:tcPr>
            <w:tcW w:w="1660" w:type="dxa"/>
            <w:vAlign w:val="bottom"/>
            <w:tcBorders>
              <w:bottom w:val="single" w:sz="8" w:color="auto"/>
            </w:tcBorders>
            <w:shd w:val="clear" w:color="auto" w:fill="EDEDED"/>
          </w:tcPr>
          <w:p>
            <w:pPr>
              <w:jc w:val="right"/>
              <w:ind w:right="8"/>
              <w:spacing w:after="0"/>
              <w:rPr>
                <w:sz w:val="20"/>
                <w:szCs w:val="20"/>
                <w:color w:val="auto"/>
              </w:rPr>
            </w:pPr>
            <w:r>
              <w:rPr>
                <w:rFonts w:ascii="Arial" w:cs="Arial" w:eastAsia="Arial" w:hAnsi="Arial"/>
                <w:sz w:val="14"/>
                <w:szCs w:val="14"/>
                <w:b w:val="1"/>
                <w:bCs w:val="1"/>
                <w:color w:val="auto"/>
              </w:rPr>
              <w:t>1,214,926</w:t>
            </w:r>
          </w:p>
        </w:tc>
        <w:tc>
          <w:tcPr>
            <w:tcW w:w="340" w:type="dxa"/>
            <w:vAlign w:val="bottom"/>
            <w:tcBorders>
              <w:bottom w:val="single" w:sz="8" w:color="auto"/>
            </w:tcBorders>
            <w:shd w:val="clear" w:color="auto" w:fill="EDEDED"/>
          </w:tcPr>
          <w:p>
            <w:pPr>
              <w:jc w:val="right"/>
              <w:ind w:right="108"/>
              <w:spacing w:after="0"/>
              <w:rPr>
                <w:sz w:val="20"/>
                <w:szCs w:val="20"/>
                <w:color w:val="auto"/>
              </w:rPr>
            </w:pPr>
            <w:r>
              <w:rPr>
                <w:rFonts w:ascii="Arial" w:cs="Arial" w:eastAsia="Arial" w:hAnsi="Arial"/>
                <w:sz w:val="14"/>
                <w:szCs w:val="14"/>
                <w:b w:val="1"/>
                <w:bCs w:val="1"/>
                <w:color w:val="auto"/>
              </w:rPr>
              <w:t>$</w:t>
            </w:r>
          </w:p>
        </w:tc>
        <w:tc>
          <w:tcPr>
            <w:tcW w:w="1640" w:type="dxa"/>
            <w:vAlign w:val="bottom"/>
            <w:tcBorders>
              <w:bottom w:val="single" w:sz="8" w:color="auto"/>
            </w:tcBorders>
            <w:shd w:val="clear" w:color="auto" w:fill="EDEDED"/>
          </w:tcPr>
          <w:p>
            <w:pPr>
              <w:jc w:val="right"/>
              <w:spacing w:after="0"/>
              <w:rPr>
                <w:sz w:val="20"/>
                <w:szCs w:val="20"/>
                <w:color w:val="auto"/>
              </w:rPr>
            </w:pPr>
            <w:r>
              <w:rPr>
                <w:rFonts w:ascii="Arial" w:cs="Arial" w:eastAsia="Arial" w:hAnsi="Arial"/>
                <w:sz w:val="14"/>
                <w:szCs w:val="14"/>
                <w:b w:val="1"/>
                <w:bCs w:val="1"/>
                <w:color w:val="auto"/>
              </w:rPr>
              <w:t>1,296,072</w:t>
            </w:r>
          </w:p>
        </w:tc>
      </w:tr>
      <w:tr>
        <w:trPr>
          <w:trHeight w:val="20"/>
        </w:trPr>
        <w:tc>
          <w:tcPr>
            <w:tcW w:w="7320" w:type="dxa"/>
            <w:vAlign w:val="bottom"/>
            <w:tcBorders>
              <w:top w:val="single" w:sz="8" w:color="EDEDED"/>
            </w:tcBorders>
          </w:tcPr>
          <w:p>
            <w:pPr>
              <w:spacing w:after="0" w:line="20" w:lineRule="exact"/>
              <w:rPr>
                <w:sz w:val="1"/>
                <w:szCs w:val="1"/>
                <w:color w:val="auto"/>
              </w:rPr>
            </w:pPr>
          </w:p>
        </w:tc>
        <w:tc>
          <w:tcPr>
            <w:tcW w:w="280" w:type="dxa"/>
            <w:vAlign w:val="bottom"/>
            <w:tcBorders>
              <w:top w:val="single" w:sz="8" w:color="EDEDED"/>
              <w:bottom w:val="single" w:sz="8" w:color="auto"/>
            </w:tcBorders>
          </w:tcPr>
          <w:p>
            <w:pPr>
              <w:spacing w:after="0" w:line="20" w:lineRule="exact"/>
              <w:rPr>
                <w:sz w:val="1"/>
                <w:szCs w:val="1"/>
                <w:color w:val="auto"/>
              </w:rPr>
            </w:pPr>
          </w:p>
        </w:tc>
        <w:tc>
          <w:tcPr>
            <w:tcW w:w="1660" w:type="dxa"/>
            <w:vAlign w:val="bottom"/>
            <w:tcBorders>
              <w:top w:val="single" w:sz="8" w:color="EDEDED"/>
              <w:bottom w:val="single" w:sz="8" w:color="auto"/>
            </w:tcBorders>
          </w:tcPr>
          <w:p>
            <w:pPr>
              <w:spacing w:after="0" w:line="20" w:lineRule="exact"/>
              <w:rPr>
                <w:sz w:val="1"/>
                <w:szCs w:val="1"/>
                <w:color w:val="auto"/>
              </w:rPr>
            </w:pPr>
          </w:p>
        </w:tc>
        <w:tc>
          <w:tcPr>
            <w:tcW w:w="340" w:type="dxa"/>
            <w:vAlign w:val="bottom"/>
            <w:tcBorders>
              <w:top w:val="single" w:sz="8" w:color="EDEDED"/>
              <w:bottom w:val="single" w:sz="8" w:color="auto"/>
            </w:tcBorders>
          </w:tcPr>
          <w:p>
            <w:pPr>
              <w:spacing w:after="0" w:line="20" w:lineRule="exact"/>
              <w:rPr>
                <w:sz w:val="1"/>
                <w:szCs w:val="1"/>
                <w:color w:val="auto"/>
              </w:rPr>
            </w:pPr>
          </w:p>
        </w:tc>
        <w:tc>
          <w:tcPr>
            <w:tcW w:w="1640" w:type="dxa"/>
            <w:vAlign w:val="bottom"/>
            <w:tcBorders>
              <w:top w:val="single" w:sz="8" w:color="EDEDED"/>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179705</wp:posOffset>
            </wp:positionV>
            <wp:extent cx="171450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321" w:lineRule="exact"/>
        <w:rPr>
          <w:sz w:val="20"/>
          <w:szCs w:val="20"/>
          <w:color w:val="auto"/>
        </w:rPr>
      </w:pPr>
    </w:p>
    <w:p>
      <w:pPr>
        <w:ind w:left="100" w:hanging="92"/>
        <w:spacing w:after="0"/>
        <w:tabs>
          <w:tab w:leader="none" w:pos="100" w:val="left"/>
        </w:tabs>
        <w:numPr>
          <w:ilvl w:val="0"/>
          <w:numId w:val="11"/>
        </w:numPr>
        <w:rPr>
          <w:rFonts w:ascii="Arial" w:cs="Arial" w:eastAsia="Arial" w:hAnsi="Arial"/>
          <w:sz w:val="19"/>
          <w:szCs w:val="19"/>
          <w:color w:val="auto"/>
          <w:vertAlign w:val="superscript"/>
        </w:rPr>
      </w:pPr>
      <w:r>
        <w:rPr>
          <w:rFonts w:ascii="Arial" w:cs="Arial" w:eastAsia="Arial" w:hAnsi="Arial"/>
          <w:sz w:val="14"/>
          <w:szCs w:val="14"/>
          <w:color w:val="auto"/>
        </w:rPr>
        <w:t>Due to rounding, the numbers presented in this table may not add up precisely to the totals provided.</w:t>
      </w:r>
    </w:p>
    <w:sectPr>
      <w:pgSz w:w="11900" w:h="16838" w:orient="portrait"/>
      <w:cols w:equalWidth="0" w:num="1">
        <w:col w:w="11240"/>
      </w:cols>
      <w:pgMar w:left="320" w:top="73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lvl w:ilvl="1">
      <w:lvlJc w:val="left"/>
      <w:lvlText w:val="◦"/>
      <w:numFmt w:val="bullet"/>
      <w:start w:val="1"/>
    </w:lvl>
  </w:abstractNum>
  <w:abstractNum w:abstractNumId="2">
    <w:nsid w:val="41B71EFB"/>
    <w:multiLevelType w:val="hybridMultilevel"/>
    <w:lvl w:ilvl="0">
      <w:lvlJc w:val="left"/>
      <w:lvlText w:val="1"/>
      <w:numFmt w:val="bullet"/>
      <w:start w:val="1"/>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
      <w:numFmt w:val="bullet"/>
      <w:start w:val="1"/>
    </w:lvl>
    <w:lvl w:ilvl="1">
      <w:lvlJc w:val="left"/>
      <w:lvlText w:val="◦"/>
      <w:numFmt w:val="bullet"/>
      <w:start w:val="1"/>
    </w:lvl>
  </w:abstractNum>
  <w:abstractNum w:abstractNumId="5">
    <w:nsid w:val="515F007C"/>
    <w:multiLevelType w:val="hybridMultilevel"/>
    <w:lvl w:ilvl="0">
      <w:lvlJc w:val="left"/>
      <w:lvlText w:val="•"/>
      <w:numFmt w:val="bullet"/>
      <w:start w:val="1"/>
    </w:lvl>
    <w:lvl w:ilvl="1">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6"/>
      <w:numFmt w:val="bullet"/>
      <w:start w:val="1"/>
    </w:lvl>
  </w:abstractNum>
  <w:abstractNum w:abstractNumId="8">
    <w:nsid w:val="4DB127F8"/>
    <w:multiLevelType w:val="hybridMultilevel"/>
    <w:lvl w:ilvl="0">
      <w:lvlJc w:val="left"/>
      <w:lvlText w:val="7"/>
      <w:numFmt w:val="bullet"/>
      <w:start w:val="1"/>
    </w:lvl>
  </w:abstractNum>
  <w:abstractNum w:abstractNumId="9">
    <w:nsid w:val="216231B"/>
    <w:multiLevelType w:val="hybridMultilevel"/>
    <w:lvl w:ilvl="0">
      <w:lvlJc w:val="left"/>
      <w:lvlText w:val="8"/>
      <w:numFmt w:val="bullet"/>
      <w:start w:val="1"/>
    </w:lvl>
  </w:abstractNum>
  <w:abstractNum w:abstractNumId="10">
    <w:nsid w:val="1F16E9E8"/>
    <w:multiLevelType w:val="hybridMultilevel"/>
    <w:lvl w:ilvl="0">
      <w:lvlJc w:val="left"/>
      <w:lvlText w:val="9"/>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2026-05-07T15:25:30Z</dcterms:created>
  <dcterms:modified xsi:type="dcterms:W3CDTF">2026-05-07T15:25:30Z</dcterms:modified>
</cp:coreProperties>
</file>