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391.xml.htm"/>
      <w:bookmarkStart w:id="1" w:name="kswkform4_17866513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Nanduru Anil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GENPACT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FIFTH AVENUE, 14TH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Genpact LTD</w:t>
              </w:r>
            </w:hyperlink>
            <w:r>
              <w:rPr/>
              <w:t xml:space="preserve"> [ </w:t>
            </w:r>
            <w:r>
              <w:rPr>
                <w:rFonts w:ascii="Times;serif" w:hAnsi="Times;serif"/>
                <w:color w:val="0000FF"/>
                <w:sz w:val="24"/>
                <w:shd w:fill="FFFFFF" w:val="clear"/>
              </w:rPr>
              <w: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17,243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33.96</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88,296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33.92</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The actual sales prices for these transactions ranged from $33.95 to $33.99.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actual sales prices for these transactions ranged from $33.90 to $33.94. The reporting person will provide to the issuer,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D. Scholtes, as Attorney-in-fact for Anil Nanduru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966" TargetMode="External"/><Relationship Id="rId5" Type="http://schemas.openxmlformats.org/officeDocument/2006/relationships/hyperlink" Target="http://www.sec.gov/cgi-bin/browse-edgar?action=getcompany&amp;CIK=00013986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3693</Characters>
  <CharactersWithSpaces>4308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