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88893.xml.htm"/>
      <w:bookmarkStart w:id="1" w:name="kswkform4_17895888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Kalra Balkrishan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GENPACT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FIFTH AVENUE, 14TH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Genpact LTD</w:t>
              </w:r>
            </w:hyperlink>
            <w:r>
              <w:rPr/>
              <w:t xml:space="preserve"> [ </w:t>
            </w:r>
            <w:r>
              <w:rPr>
                <w:rFonts w:ascii="Times;serif" w:hAnsi="Times;serif"/>
                <w:color w:val="0000FF"/>
                <w:sz w:val="24"/>
                <w:shd w:fill="FFFFFF" w:val="clear"/>
              </w:rPr>
              <w: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36.79</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501,114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The actual sales prices for these transactions ranged from $36.790 to $36.795. The reporting person will provide to the issuer,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D. Scholtes, as Attorney-in-fact for Balkrishan Kalra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8217" TargetMode="External"/><Relationship Id="rId5" Type="http://schemas.openxmlformats.org/officeDocument/2006/relationships/hyperlink" Target="http://www.sec.gov/cgi-bin/browse-edgar?action=getcompany&amp;CIK=00013986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3383</Characters>
  <CharactersWithSpaces>3942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