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229235</wp:posOffset>
            </wp:positionV>
            <wp:extent cx="162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112395</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29" w:lineRule="exact"/>
        <w:rPr>
          <w:sz w:val="24"/>
          <w:szCs w:val="24"/>
          <w:color w:val="auto"/>
        </w:rPr>
      </w:pPr>
    </w:p>
    <w:p>
      <w:pPr>
        <w:jc w:val="center"/>
        <w:ind w:left="1020" w:right="2040"/>
        <w:spacing w:after="0" w:line="259" w:lineRule="auto"/>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 Date of Report (Date of earliest event reported): 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65405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GENPACT LIMITED</w:t>
      </w:r>
    </w:p>
    <w:p>
      <w:pPr>
        <w:spacing w:after="0" w:line="5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81915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6"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180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Bermuda</w:t>
            </w:r>
          </w:p>
        </w:tc>
        <w:tc>
          <w:tcPr>
            <w:tcW w:w="4020" w:type="dxa"/>
            <w:vAlign w:val="bottom"/>
            <w:gridSpan w:val="2"/>
          </w:tcPr>
          <w:p>
            <w:pPr>
              <w:jc w:val="right"/>
              <w:ind w:right="677"/>
              <w:spacing w:after="0"/>
              <w:rPr>
                <w:sz w:val="20"/>
                <w:szCs w:val="20"/>
                <w:color w:val="auto"/>
              </w:rPr>
            </w:pPr>
            <w:r>
              <w:rPr>
                <w:rFonts w:ascii="Times New Roman" w:cs="Times New Roman" w:eastAsia="Times New Roman" w:hAnsi="Times New Roman"/>
                <w:sz w:val="18"/>
                <w:szCs w:val="18"/>
                <w:b w:val="1"/>
                <w:bCs w:val="1"/>
                <w:color w:val="auto"/>
              </w:rPr>
              <w:t>001-33626</w:t>
            </w:r>
          </w:p>
        </w:tc>
        <w:tc>
          <w:tcPr>
            <w:tcW w:w="1620" w:type="dxa"/>
            <w:vAlign w:val="bottom"/>
          </w:tcPr>
          <w:p>
            <w:pPr>
              <w:spacing w:after="0"/>
              <w:rPr>
                <w:sz w:val="19"/>
                <w:szCs w:val="19"/>
                <w:color w:val="auto"/>
              </w:rPr>
            </w:pP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98-0533350</w:t>
            </w:r>
          </w:p>
        </w:tc>
      </w:tr>
      <w:tr>
        <w:trPr>
          <w:trHeight w:val="148"/>
        </w:trPr>
        <w:tc>
          <w:tcPr>
            <w:tcW w:w="180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460" w:type="dxa"/>
            <w:vAlign w:val="bottom"/>
          </w:tcPr>
          <w:p>
            <w:pPr>
              <w:spacing w:after="0"/>
              <w:rPr>
                <w:sz w:val="12"/>
                <w:szCs w:val="12"/>
                <w:color w:val="auto"/>
              </w:rPr>
            </w:pPr>
          </w:p>
        </w:tc>
        <w:tc>
          <w:tcPr>
            <w:tcW w:w="4180" w:type="dxa"/>
            <w:vAlign w:val="bottom"/>
            <w:gridSpan w:val="2"/>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460" w:type="dxa"/>
            <w:vAlign w:val="bottom"/>
          </w:tcPr>
          <w:p>
            <w:pPr>
              <w:spacing w:after="0"/>
              <w:rPr>
                <w:sz w:val="16"/>
                <w:szCs w:val="16"/>
                <w:color w:val="auto"/>
              </w:rPr>
            </w:pPr>
          </w:p>
        </w:tc>
        <w:tc>
          <w:tcPr>
            <w:tcW w:w="4180" w:type="dxa"/>
            <w:vAlign w:val="bottom"/>
            <w:gridSpan w:val="2"/>
          </w:tcPr>
          <w:p>
            <w:pPr>
              <w:jc w:val="right"/>
              <w:ind w:right="2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74"/>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8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Canon's Court, 22 Victoria Street</w:t>
            </w:r>
          </w:p>
        </w:tc>
        <w:tc>
          <w:tcPr>
            <w:tcW w:w="142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1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Hamilton HM 12, Bermuda</w:t>
            </w:r>
          </w:p>
        </w:tc>
        <w:tc>
          <w:tcPr>
            <w:tcW w:w="1420" w:type="dxa"/>
            <w:vAlign w:val="bottom"/>
          </w:tcPr>
          <w:p>
            <w:pPr>
              <w:spacing w:after="0"/>
              <w:rPr>
                <w:sz w:val="18"/>
                <w:szCs w:val="18"/>
                <w:color w:val="auto"/>
              </w:rPr>
            </w:pPr>
          </w:p>
        </w:tc>
      </w:tr>
      <w:tr>
        <w:trPr>
          <w:trHeight w:val="190"/>
        </w:trPr>
        <w:tc>
          <w:tcPr>
            <w:tcW w:w="1800" w:type="dxa"/>
            <w:vAlign w:val="bottom"/>
          </w:tcPr>
          <w:p>
            <w:pPr>
              <w:spacing w:after="0"/>
              <w:rPr>
                <w:sz w:val="16"/>
                <w:szCs w:val="16"/>
                <w:color w:val="auto"/>
              </w:rPr>
            </w:pPr>
          </w:p>
        </w:tc>
        <w:tc>
          <w:tcPr>
            <w:tcW w:w="5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402"/>
        </w:trPr>
        <w:tc>
          <w:tcPr>
            <w:tcW w:w="1800" w:type="dxa"/>
            <w:vAlign w:val="bottom"/>
          </w:tcPr>
          <w:p>
            <w:pPr>
              <w:spacing w:after="0"/>
              <w:rPr>
                <w:sz w:val="24"/>
                <w:szCs w:val="24"/>
                <w:color w:val="auto"/>
              </w:rPr>
            </w:pPr>
          </w:p>
        </w:tc>
        <w:tc>
          <w:tcPr>
            <w:tcW w:w="5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(441) 298-3300</w:t>
            </w:r>
          </w:p>
        </w:tc>
        <w:tc>
          <w:tcPr>
            <w:tcW w:w="1420" w:type="dxa"/>
            <w:vAlign w:val="bottom"/>
          </w:tcPr>
          <w:p>
            <w:pPr>
              <w:spacing w:after="0"/>
              <w:rPr>
                <w:sz w:val="24"/>
                <w:szCs w:val="24"/>
                <w:color w:val="auto"/>
              </w:rPr>
            </w:pPr>
          </w:p>
        </w:tc>
      </w:tr>
      <w:tr>
        <w:trPr>
          <w:trHeight w:val="367"/>
        </w:trPr>
        <w:tc>
          <w:tcPr>
            <w:tcW w:w="1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8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r>
      <w:tr>
        <w:trPr>
          <w:trHeight w:val="190"/>
        </w:trPr>
        <w:tc>
          <w:tcPr>
            <w:tcW w:w="1800" w:type="dxa"/>
            <w:vAlign w:val="bottom"/>
          </w:tcPr>
          <w:p>
            <w:pPr>
              <w:spacing w:after="0"/>
              <w:rPr>
                <w:sz w:val="16"/>
                <w:szCs w:val="16"/>
                <w:color w:val="auto"/>
              </w:rPr>
            </w:pPr>
          </w:p>
        </w:tc>
        <w:tc>
          <w:tcPr>
            <w:tcW w:w="5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131"/>
        </w:trPr>
        <w:tc>
          <w:tcPr>
            <w:tcW w:w="18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1620" w:type="dxa"/>
            <w:vAlign w:val="bottom"/>
          </w:tcPr>
          <w:p>
            <w:pPr>
              <w:spacing w:after="0"/>
              <w:rPr>
                <w:sz w:val="11"/>
                <w:szCs w:val="11"/>
                <w:color w:val="auto"/>
              </w:rPr>
            </w:pPr>
          </w:p>
        </w:tc>
        <w:tc>
          <w:tcPr>
            <w:tcW w:w="1420" w:type="dxa"/>
            <w:vAlign w:val="bottom"/>
          </w:tcPr>
          <w:p>
            <w:pPr>
              <w:spacing w:after="0"/>
              <w:rPr>
                <w:sz w:val="11"/>
                <w:szCs w:val="11"/>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5" w:lineRule="exact"/>
        <w:rPr>
          <w:rFonts w:ascii="MS PGothic" w:cs="MS PGothic" w:eastAsia="MS PGothic" w:hAnsi="MS PGothic"/>
          <w:sz w:val="20"/>
          <w:szCs w:val="20"/>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5" w:lineRule="exact"/>
        <w:rPr>
          <w:rFonts w:ascii="MS PGothic" w:cs="MS PGothic" w:eastAsia="MS PGothic" w:hAnsi="MS PGothic"/>
          <w:sz w:val="20"/>
          <w:szCs w:val="20"/>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5" w:lineRule="exact"/>
        <w:rPr>
          <w:rFonts w:ascii="MS PGothic" w:cs="MS PGothic" w:eastAsia="MS PGothic" w:hAnsi="MS PGothic"/>
          <w:sz w:val="20"/>
          <w:szCs w:val="20"/>
          <w:color w:val="auto"/>
        </w:rPr>
      </w:pPr>
    </w:p>
    <w:p>
      <w:pPr>
        <w:ind w:left="520" w:hanging="494"/>
        <w:spacing w:after="0"/>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452" w:right="499" w:bottom="1440" w:gutter="0" w:footer="0" w:header="0"/>
        </w:sectPr>
      </w:pPr>
    </w:p>
    <w:p>
      <w:pPr>
        <w:spacing w:after="0" w:line="26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60" w:space="720"/>
            <w:col w:w="1720" w:space="720"/>
            <w:col w:w="3660"/>
          </w:cols>
          <w:pgMar w:left="320" w:top="452" w:right="49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Common shares,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00" w:lineRule="exact"/>
        <w:rPr>
          <w:sz w:val="24"/>
          <w:szCs w:val="24"/>
          <w:color w:val="auto"/>
        </w:rPr>
      </w:pPr>
    </w:p>
    <w:p>
      <w:pPr>
        <w:sectPr>
          <w:pgSz w:w="11900" w:h="16838" w:orient="portrait"/>
          <w:cols w:equalWidth="0" w:num="3">
            <w:col w:w="4820" w:space="720"/>
            <w:col w:w="1860" w:space="720"/>
            <w:col w:w="2960"/>
          </w:cols>
          <w:pgMar w:left="320" w:top="452" w:right="499" w:bottom="1440" w:gutter="0" w:footer="0" w:header="0"/>
          <w:type w:val="continuous"/>
        </w:sectPr>
      </w:pPr>
    </w:p>
    <w:p>
      <w:pPr>
        <w:spacing w:after="0" w:line="12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452" w:right="4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right="80" w:firstLine="729"/>
        <w:spacing w:after="0" w:line="266" w:lineRule="auto"/>
        <w:rPr>
          <w:sz w:val="20"/>
          <w:szCs w:val="20"/>
          <w:color w:val="auto"/>
        </w:rPr>
      </w:pPr>
      <w:r>
        <w:rPr>
          <w:rFonts w:ascii="Times New Roman" w:cs="Times New Roman" w:eastAsia="Times New Roman" w:hAnsi="Times New Roman"/>
          <w:sz w:val="18"/>
          <w:szCs w:val="18"/>
          <w:color w:val="auto"/>
        </w:rPr>
        <w:t>On April 23, 2026, Genpact Limited, a Bermuda company (the “Company”), held its 2026 annual general meeting of shareholders (the “Annual Meeting”) at 521 Fifth Avenue, 14th Floor, New York, NY. At the Annual Meeting, Company shareholders voted on three proposals. The full results of the votes are set forth below. Each proposal is described in detail in the Company’s previously filed Proxy Statement related to the Annual Meeting.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Proposal 1</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shareholders elected each of the nominees to the Company’s Board of Directors as set forth below:</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Number of Shares For</w:t>
            </w: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Number of Shares Against</w:t>
            </w: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30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rPr>
              <w:t>Abstaining</w:t>
            </w:r>
          </w:p>
        </w:tc>
        <w:tc>
          <w:tcPr>
            <w:tcW w:w="70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Balkrishan Kalra</w:t>
            </w:r>
          </w:p>
        </w:tc>
        <w:tc>
          <w:tcPr>
            <w:tcW w:w="19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135,442,084</w:t>
            </w:r>
          </w:p>
        </w:tc>
        <w:tc>
          <w:tcPr>
            <w:tcW w:w="4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404,849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47,997</w:t>
            </w: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Madden</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128,675,764</w:t>
            </w: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7,166,730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52,436</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Conigliaro</w:t>
            </w:r>
          </w:p>
        </w:tc>
        <w:tc>
          <w:tcPr>
            <w:tcW w:w="19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131,407,566</w:t>
            </w:r>
          </w:p>
        </w:tc>
        <w:tc>
          <w:tcPr>
            <w:tcW w:w="4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4,438,426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48,938</w:t>
            </w: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Gangestad</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135,761,342</w:t>
            </w: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88,752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44,836</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Hinshaw</w:t>
            </w:r>
          </w:p>
        </w:tc>
        <w:tc>
          <w:tcPr>
            <w:tcW w:w="19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135,717,053</w:t>
            </w:r>
          </w:p>
        </w:tc>
        <w:tc>
          <w:tcPr>
            <w:tcW w:w="4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131,972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45,905</w:t>
            </w: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Lindstrom</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132,572,200</w:t>
            </w: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3,250,900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71,830</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CeCelia Morken</w:t>
            </w:r>
          </w:p>
        </w:tc>
        <w:tc>
          <w:tcPr>
            <w:tcW w:w="19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134,719,348</w:t>
            </w:r>
          </w:p>
        </w:tc>
        <w:tc>
          <w:tcPr>
            <w:tcW w:w="4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1,127,586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47,996</w:t>
            </w: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Stevens</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135,791,886</w:t>
            </w: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58,240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44,804</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Thimaya Subaiya</w:t>
            </w:r>
          </w:p>
        </w:tc>
        <w:tc>
          <w:tcPr>
            <w:tcW w:w="19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135,760,871</w:t>
            </w:r>
          </w:p>
        </w:tc>
        <w:tc>
          <w:tcPr>
            <w:tcW w:w="4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92,231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41,828</w:t>
            </w:r>
          </w:p>
        </w:tc>
        <w:tc>
          <w:tcPr>
            <w:tcW w:w="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Verdi</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135,035,615</w:t>
            </w: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806,679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52,636</w:t>
            </w: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9,589,913</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Proposal 2</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Company shareholders approved, on a non-binding, advisory basis, the compensation of the Company’s named executive officers as set forth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cast in favor</w:t>
            </w:r>
          </w:p>
        </w:tc>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125,882,016</w:t>
            </w:r>
          </w:p>
        </w:tc>
      </w:tr>
      <w:tr>
        <w:trPr>
          <w:trHeight w:val="234"/>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cast against</w:t>
            </w:r>
          </w:p>
        </w:tc>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9,847,642</w:t>
            </w:r>
          </w:p>
        </w:tc>
      </w:tr>
      <w:tr>
        <w:trPr>
          <w:trHeight w:val="22"/>
        </w:trPr>
        <w:tc>
          <w:tcPr>
            <w:tcW w:w="16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3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abstaining</w:t>
            </w:r>
          </w:p>
        </w:tc>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165,272</w:t>
            </w:r>
          </w:p>
        </w:tc>
      </w:tr>
      <w:tr>
        <w:trPr>
          <w:trHeight w:val="234"/>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9,589,913</w:t>
            </w:r>
          </w:p>
        </w:tc>
      </w:tr>
    </w:tbl>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p>
    <w:p>
      <w:pPr>
        <w:spacing w:after="0" w:line="243"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Company shareholders approved the appointment of KPMG Assurance and Consulting Services LLP as the Company’s independent registered public accounting firm for the 2026 fiscal year as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60" w:type="dxa"/>
            <w:vAlign w:val="bottom"/>
          </w:tcPr>
          <w:p>
            <w:pPr>
              <w:spacing w:after="0"/>
              <w:rPr>
                <w:sz w:val="22"/>
                <w:szCs w:val="22"/>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cast in favor</w:t>
            </w:r>
          </w:p>
        </w:tc>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134,484,965</w:t>
            </w:r>
          </w:p>
        </w:tc>
        <w:tc>
          <w:tcPr>
            <w:tcW w:w="520" w:type="dxa"/>
            <w:vAlign w:val="bottom"/>
          </w:tcPr>
          <w:p>
            <w:pPr>
              <w:spacing w:after="0"/>
              <w:rPr>
                <w:sz w:val="22"/>
                <w:szCs w:val="22"/>
                <w:color w:val="auto"/>
              </w:rPr>
            </w:pPr>
          </w:p>
        </w:tc>
      </w:tr>
      <w:tr>
        <w:trPr>
          <w:trHeight w:val="234"/>
        </w:trPr>
        <w:tc>
          <w:tcPr>
            <w:tcW w:w="66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cast against</w:t>
            </w:r>
          </w:p>
        </w:tc>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10,944,301</w:t>
            </w:r>
          </w:p>
        </w:tc>
        <w:tc>
          <w:tcPr>
            <w:tcW w:w="520" w:type="dxa"/>
            <w:vAlign w:val="bottom"/>
          </w:tcPr>
          <w:p>
            <w:pPr>
              <w:spacing w:after="0"/>
              <w:rPr>
                <w:sz w:val="20"/>
                <w:szCs w:val="20"/>
                <w:color w:val="auto"/>
              </w:rPr>
            </w:pPr>
          </w:p>
        </w:tc>
      </w:tr>
      <w:tr>
        <w:trPr>
          <w:trHeight w:val="22"/>
        </w:trPr>
        <w:tc>
          <w:tcPr>
            <w:tcW w:w="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abstaining</w:t>
            </w:r>
          </w:p>
        </w:tc>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55,577</w:t>
            </w:r>
          </w:p>
        </w:tc>
        <w:tc>
          <w:tcPr>
            <w:tcW w:w="520" w:type="dxa"/>
            <w:vAlign w:val="bottom"/>
          </w:tcPr>
          <w:p>
            <w:pPr>
              <w:spacing w:after="0"/>
              <w:rPr>
                <w:sz w:val="20"/>
                <w:szCs w:val="20"/>
                <w:color w:val="auto"/>
              </w:rPr>
            </w:pPr>
          </w:p>
        </w:tc>
      </w:tr>
      <w:tr>
        <w:trPr>
          <w:trHeight w:val="858"/>
        </w:trPr>
        <w:tc>
          <w:tcPr>
            <w:tcW w:w="6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20" w:firstLine="72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0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GENPACT LIMITED</w:t>
            </w:r>
          </w:p>
        </w:tc>
      </w:tr>
      <w:tr>
        <w:trPr>
          <w:trHeight w:val="39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27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Sydney Schaub</w:t>
            </w:r>
          </w:p>
        </w:tc>
      </w:tr>
      <w:tr>
        <w:trPr>
          <w:trHeight w:val="218"/>
        </w:trPr>
        <w:tc>
          <w:tcPr>
            <w:tcW w:w="3220" w:type="dxa"/>
            <w:vAlign w:val="bottom"/>
          </w:tcPr>
          <w:p>
            <w:pPr>
              <w:spacing w:after="0"/>
              <w:rPr>
                <w:sz w:val="18"/>
                <w:szCs w:val="18"/>
                <w:color w:val="auto"/>
              </w:rPr>
            </w:pPr>
          </w:p>
        </w:tc>
        <w:tc>
          <w:tcPr>
            <w:tcW w:w="27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Sydney Schaub</w:t>
            </w:r>
          </w:p>
        </w:tc>
      </w:tr>
      <w:tr>
        <w:trPr>
          <w:trHeight w:val="234"/>
        </w:trPr>
        <w:tc>
          <w:tcPr>
            <w:tcW w:w="3220" w:type="dxa"/>
            <w:vAlign w:val="bottom"/>
          </w:tcPr>
          <w:p>
            <w:pPr>
              <w:spacing w:after="0"/>
              <w:rPr>
                <w:sz w:val="20"/>
                <w:szCs w:val="20"/>
                <w:color w:val="auto"/>
              </w:rPr>
            </w:pPr>
          </w:p>
        </w:tc>
        <w:tc>
          <w:tcPr>
            <w:tcW w:w="27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2026-04-29T07:13:58Z</dcterms:created>
  <dcterms:modified xsi:type="dcterms:W3CDTF">2026-04-29T07:13:58Z</dcterms:modified>
</cp:coreProperties>
</file>