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57532.xml.htm"/>
      <w:bookmarkStart w:id="1" w:name="kswkform4_17891575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Pandit Sumita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GENPACT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 FIFTH AVENUE, 14TH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Genpact LTD</w:t>
              </w:r>
            </w:hyperlink>
            <w:r>
              <w:rPr/>
              <w:t xml:space="preserve"> [ </w:t>
            </w:r>
            <w:r>
              <w:rPr>
                <w:rFonts w:ascii="Times;serif" w:hAnsi="Times;serif"/>
                <w:color w:val="0000FF"/>
                <w:sz w:val="24"/>
                <w:shd w:fill="FFFFFF" w:val="clear"/>
              </w:rPr>
              <w: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76,713</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76,713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unvested restricted share units (RSUs) granted under the Genpact Limited 2017 Omnibus Incentive Compensation Plan. Each RSU entitles the holder to receive one Genpact Limited common share upon vesting. One-third of the shares underlying this RSU award will vest on each of September 9, 2027, September 9, 2028 and September 9, 2029, subject to the reporting person's continued service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Lamb, as Attorney-in-fact for Sumita Pandit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7992" TargetMode="External"/><Relationship Id="rId5" Type="http://schemas.openxmlformats.org/officeDocument/2006/relationships/hyperlink" Target="http://www.sec.gov/cgi-bin/browse-edgar?action=getcompany&amp;CIK=00013986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3468</Characters>
  <CharactersWithSpaces>4038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